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ОКПД2  26.30.50 Поставка запасных частей КСБ для нужд филиала ПАО «РусГидро» - «Саяно-Шушенская ГЭС имени П.С. Непорожнего» (аварийный запас) </w:t>
      </w:r>
    </w:p>
    <w:p>
      <w:pPr>
        <w:pStyle w:val="Normal"/>
        <w:keepNext w:val="true"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458_304485510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60_3044855101">
            <w:r>
              <w:rPr>
                <w:rStyle w:val="Style1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62_3044855101">
            <w:r>
              <w:rPr>
                <w:rStyle w:val="Style1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64_3044855101">
            <w:r>
              <w:rPr>
                <w:rStyle w:val="Style1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66_3044855101">
            <w:r>
              <w:rPr>
                <w:rStyle w:val="Style14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68_3044855101">
            <w:r>
              <w:rPr>
                <w:rStyle w:val="Style14"/>
              </w:rPr>
              <w:t>1.5. Информация в отношении исполнения договора, которая должна быть учтена при подготовке заявки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70_304485510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72_3044855101">
            <w:r>
              <w:rPr>
                <w:rStyle w:val="Style1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74_3044855101">
            <w:r>
              <w:rPr>
                <w:rStyle w:val="Style14"/>
              </w:rPr>
              <w:t>2.1.1. Перечень и объем закупаемой продукции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76_3044855101">
            <w:r>
              <w:rPr>
                <w:rStyle w:val="Style14"/>
              </w:rPr>
              <w:t>Таблица 1.1 Перечень и объем закупаемой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478_3044855101">
            <w:r>
              <w:rPr>
                <w:rStyle w:val="Style1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80_3044855101">
            <w:r>
              <w:rPr>
                <w:rStyle w:val="Style14"/>
              </w:rPr>
              <w:t>Таблица 2.1 Требования по срокам поставки продукции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482_3044855101">
            <w:r>
              <w:rPr>
                <w:rStyle w:val="Style1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84_3044855101">
            <w:r>
              <w:rPr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490_3044855101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3"/>
        <w:tabs>
          <w:tab w:val="clear" w:pos="708"/>
          <w:tab w:val="right" w:pos="9921" w:leader="dot"/>
        </w:tabs>
        <w:rPr>
          <w:i/>
          <w:i/>
        </w:rPr>
      </w:pPr>
      <w:r>
        <w:rPr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caps/>
          <w:sz w:val="24"/>
          <w:szCs w:val="24"/>
          <w:lang w:val="ru-RU"/>
        </w:rPr>
      </w:pPr>
      <w:bookmarkStart w:id="0" w:name="__RefHeading___Toc1458_3044855101"/>
      <w:bookmarkStart w:id="1" w:name="_Toc139986329"/>
      <w:bookmarkStart w:id="2" w:name="_Toc51339692"/>
      <w:bookmarkEnd w:id="0"/>
      <w:r>
        <w:rPr>
          <w:sz w:val="24"/>
          <w:szCs w:val="24"/>
          <w:lang w:val="ru-RU"/>
        </w:rPr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3" w:name="__RefHeading___Toc1462_3044855101"/>
      <w:bookmarkStart w:id="4" w:name="_Toc46743506"/>
      <w:bookmarkStart w:id="5" w:name="_Toc139986331"/>
      <w:bookmarkEnd w:id="3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ab/>
        <w:t>Запасные части КСБ</w:t>
      </w:r>
      <w:r>
        <w:rPr>
          <w:rStyle w:val="FootnoteReference"/>
          <w:rFonts w:eastAsia="Calibri"/>
          <w:sz w:val="24"/>
          <w:szCs w:val="24"/>
          <w:lang w:eastAsia="x-none"/>
        </w:rPr>
        <w:footnoteReference w:id="2"/>
      </w:r>
      <w:r>
        <w:rPr>
          <w:rFonts w:eastAsia="Calibri"/>
          <w:sz w:val="24"/>
          <w:szCs w:val="24"/>
          <w:lang w:eastAsia="x-none"/>
        </w:rPr>
        <w:t xml:space="preserve"> для нужд филиала ПАО «РусГидро» - «Саяно-Шушенская ГЭС имени П.С. Непорожнего» (аварийный запас) (далее – Товар).</w:t>
      </w:r>
    </w:p>
    <w:p>
      <w:pPr>
        <w:pStyle w:val="Heading4"/>
        <w:numPr>
          <w:ilvl w:val="1"/>
          <w:numId w:val="3"/>
        </w:numPr>
        <w:spacing w:before="0" w:after="0"/>
        <w:ind w:left="431" w:hanging="431"/>
        <w:rPr/>
      </w:pPr>
      <w:bookmarkStart w:id="6" w:name="__RefHeading___Toc1464_3044855101"/>
      <w:bookmarkStart w:id="7" w:name="_Toc139986332"/>
      <w:bookmarkStart w:id="8" w:name="_Toc46743507"/>
      <w:bookmarkEnd w:id="6"/>
      <w:r>
        <w:rPr/>
        <w:t xml:space="preserve">Цель </w:t>
      </w:r>
      <w:bookmarkEnd w:id="8"/>
      <w:r>
        <w:rPr>
          <w:lang w:val="ru-RU"/>
        </w:rPr>
        <w:t>использования закупаемой продукции</w:t>
      </w:r>
      <w:bookmarkEnd w:id="7"/>
    </w:p>
    <w:p>
      <w:pPr>
        <w:pStyle w:val="29"/>
        <w:numPr>
          <w:ilvl w:val="0"/>
          <w:numId w:val="0"/>
        </w:numPr>
        <w:ind w:left="0" w:firstLine="426"/>
        <w:rPr>
          <w:rFonts w:eastAsia="Times New Roman"/>
          <w:iCs/>
          <w:sz w:val="24"/>
        </w:rPr>
      </w:pPr>
      <w:r>
        <w:rPr>
          <w:sz w:val="24"/>
          <w:lang w:eastAsia="x-none"/>
        </w:rPr>
        <w:t>Закупается в целях формирования аварийного запаса для оборудования</w:t>
      </w:r>
      <w:r>
        <w:rPr>
          <w:rStyle w:val="Style8"/>
          <w:b w:val="false"/>
          <w:sz w:val="24"/>
          <w:shd w:fill="auto" w:val="clear"/>
          <w:lang w:eastAsia="x-none"/>
        </w:rPr>
        <w:t xml:space="preserve">. </w:t>
      </w:r>
      <w:r>
        <w:rPr>
          <w:rFonts w:eastAsia="Times New Roman"/>
          <w:bCs/>
          <w:iCs/>
          <w:sz w:val="24"/>
        </w:rPr>
        <w:t>Аварийный запас</w:t>
      </w:r>
      <w:r>
        <w:rPr>
          <w:rFonts w:eastAsia="Times New Roman"/>
          <w:iCs/>
          <w:sz w:val="24"/>
        </w:rPr>
        <w:t xml:space="preserve">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неисправностей), возникающих в процессе эксплуатации производственных объектов.</w:t>
      </w:r>
    </w:p>
    <w:p>
      <w:pPr>
        <w:pStyle w:val="Normal"/>
        <w:ind w:firstLine="567"/>
        <w:jc w:val="both"/>
        <w:rPr/>
      </w:pP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x-none"/>
        </w:rPr>
        <w:t>Указанный аварийный запас предназначен для незамедлительной замены в случае аварийной ситуации, при этом, запасный части должны быть установлены взамен неисправных (поврежденных) приборов в кратчайшие сроки и без выполнения дополнительных работ и доработок используемых узлов (элементов, конструкций, оборудования системы автоматического управления), что возможно только при полном соответствии характеристик, указанных в таблице №3 настоящих Технических требований.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9" w:name="__RefHeading___Toc1470_3044855101"/>
      <w:bookmarkStart w:id="10" w:name="_Toc139986335"/>
      <w:bookmarkStart w:id="11" w:name="_Toc51339693"/>
      <w:bookmarkStart w:id="12" w:name="_Hlk48209761_Копия_1"/>
      <w:bookmarkStart w:id="13" w:name="_Toc50125126"/>
      <w:bookmarkEnd w:id="9"/>
      <w:bookmarkEnd w:id="12"/>
      <w:bookmarkEnd w:id="13"/>
      <w:r>
        <w:rPr>
          <w:iCs/>
          <w:sz w:val="24"/>
          <w:szCs w:val="24"/>
        </w:rPr>
        <w:t>Требования к продукции</w:t>
      </w:r>
      <w:bookmarkEnd w:id="10"/>
      <w:bookmarkEnd w:id="11"/>
    </w:p>
    <w:p>
      <w:pPr>
        <w:pStyle w:val="Heading4"/>
        <w:numPr>
          <w:ilvl w:val="1"/>
          <w:numId w:val="3"/>
        </w:numPr>
        <w:spacing w:before="0" w:after="0"/>
        <w:rPr/>
      </w:pPr>
      <w:bookmarkStart w:id="14" w:name="__RefHeading___Toc1472_3044855101"/>
      <w:bookmarkStart w:id="15" w:name="_Toc139986336"/>
      <w:bookmarkEnd w:id="1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5"/>
    </w:p>
    <w:p>
      <w:pPr>
        <w:pStyle w:val="Heading3"/>
        <w:numPr>
          <w:ilvl w:val="2"/>
          <w:numId w:val="3"/>
        </w:numPr>
        <w:spacing w:before="0" w:after="0"/>
        <w:rPr/>
      </w:pPr>
      <w:bookmarkStart w:id="16" w:name="__RefHeading___Toc1474_3044855101"/>
      <w:bookmarkStart w:id="17" w:name="_Toc139986337"/>
      <w:bookmarkEnd w:id="16"/>
      <w:r>
        <w:rPr>
          <w:lang w:val="ru-RU"/>
        </w:rPr>
        <w:t>Перечень и объем закупаемой продукции</w:t>
      </w:r>
      <w:bookmarkEnd w:id="17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18" w:name="__RefHeading___Toc1476_3044855101"/>
      <w:bookmarkStart w:id="19" w:name="_Toc139986338"/>
      <w:bookmarkStart w:id="20" w:name="_Toc51339695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tbl>
      <w:tblPr>
        <w:tblW w:w="1005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27"/>
        <w:gridCol w:w="6843"/>
        <w:gridCol w:w="1245"/>
        <w:gridCol w:w="1234"/>
      </w:tblGrid>
      <w:tr>
        <w:trPr>
          <w:tblHeader w:val="true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tabs>
                <w:tab w:val="clear" w:pos="708"/>
                <w:tab w:val="left" w:pos="2955" w:leader="none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питания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питания уличный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питания уличный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бесперебойного питания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Источник переменного напряжения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 питания переменного тока 1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реле адресный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Диск жесткий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Диск жесткий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ККоммутатор сетевой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Коммутатор сетевой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SFP-модуль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Медиаконвертер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обработки и индикации на 6 абонентов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Вентилятор для сервера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Модуль для встраивания в коммутаторы серии Cisco Catalyst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Турникет роторный с электромеханическим приводом, полноростовый.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радиоприемное аналоговое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Замок электромагнитный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Извещатель охранный ИК адресный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Извещатель охранный магнитоконтактный адресный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Извещатель пожарный дымовой оптико-электронный адресный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Извещатель пожарный дымовой оптико-электронный аналоговый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Извещатель пожарный ручной адресный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Кнопка тревожной сигнализации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Панель управления и контроля охранно-пожарной сигнализации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Преобразователь интерфейса 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6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Привод защитных рольставней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>
      <w:pPr>
        <w:pStyle w:val="Heading1"/>
        <w:keepLines/>
        <w:tabs>
          <w:tab w:val="clear" w:pos="0"/>
        </w:tabs>
        <w:spacing w:before="0" w:after="0"/>
        <w:ind w:left="0" w:hanging="0"/>
        <w:jc w:val="both"/>
        <w:rPr>
          <w:rFonts w:eastAsia="Times New Roman"/>
          <w:b w:val="false"/>
          <w:sz w:val="24"/>
          <w:szCs w:val="24"/>
          <w:lang w:val="ru-RU"/>
        </w:rPr>
      </w:pPr>
      <w:r>
        <w:rPr>
          <w:rFonts w:eastAsia="Times New Roman"/>
          <w:b w:val="false"/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spacing w:before="0" w:after="0"/>
        <w:rPr>
          <w:lang w:val="ru-RU"/>
        </w:rPr>
      </w:pPr>
      <w:bookmarkStart w:id="21" w:name="__RefHeading___Toc1478_3044855101"/>
      <w:bookmarkStart w:id="22" w:name="_Toc139986339"/>
      <w:bookmarkStart w:id="23" w:name="_Toc51339696"/>
      <w:bookmarkEnd w:id="21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поставки продукции и оказания сопутствующих услуг</w:t>
      </w:r>
      <w:bookmarkEnd w:id="22"/>
    </w:p>
    <w:p>
      <w:pPr>
        <w:pStyle w:val="Heading1"/>
        <w:keepLines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bookmarkStart w:id="24" w:name="__RefHeading___Toc1480_3044855101"/>
      <w:bookmarkStart w:id="25" w:name="_Toc139986340"/>
      <w:bookmarkStart w:id="26" w:name="_Toc51339697"/>
      <w:bookmarkStart w:id="27" w:name="_Toc50125127"/>
      <w:bookmarkStart w:id="28" w:name="_Toc50125126_Копия_1"/>
      <w:bookmarkEnd w:id="24"/>
      <w:bookmarkEnd w:id="2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9" w:name="_Hlk50465284"/>
      <w:r>
        <w:rPr>
          <w:sz w:val="24"/>
          <w:szCs w:val="24"/>
        </w:rPr>
        <w:t xml:space="preserve">Требования по срокам </w:t>
      </w:r>
      <w:bookmarkEnd w:id="26"/>
      <w:bookmarkEnd w:id="27"/>
      <w:bookmarkEnd w:id="29"/>
      <w:r>
        <w:rPr>
          <w:sz w:val="24"/>
          <w:szCs w:val="24"/>
          <w:lang w:val="ru-RU"/>
        </w:rPr>
        <w:t>поставки продукции</w:t>
      </w:r>
      <w:bookmarkEnd w:id="25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началу срока поставки продукции – с даты, следующей за датой заключения договора; Требования к окончанию срока поставки продукции – </w:t>
      </w:r>
      <w:r>
        <w:rPr>
          <w:bCs/>
          <w:sz w:val="24"/>
          <w:szCs w:val="24"/>
        </w:rPr>
        <w:t xml:space="preserve">не позднее </w:t>
      </w:r>
      <w:r>
        <w:rPr>
          <w:sz w:val="24"/>
          <w:szCs w:val="24"/>
        </w:rPr>
        <w:t xml:space="preserve">139 (ста тридцати девяти) </w:t>
      </w:r>
      <w:r>
        <w:rPr>
          <w:bCs/>
          <w:sz w:val="24"/>
          <w:szCs w:val="24"/>
        </w:rPr>
        <w:t>календарных дней с даты, следующей за датой заключения Договора</w:t>
      </w:r>
      <w:r>
        <w:rPr>
          <w:sz w:val="24"/>
          <w:szCs w:val="24"/>
        </w:rPr>
        <w:t>.</w:t>
      </w:r>
      <w:bookmarkStart w:id="30" w:name="__RefHeading___Toc20905_1323904207"/>
      <w:bookmarkStart w:id="31" w:name="_Toc46743510_Копия_1"/>
      <w:bookmarkStart w:id="32" w:name="__RefHeading___Toc11721_3038503659"/>
      <w:bookmarkEnd w:id="30"/>
      <w:bookmarkEnd w:id="31"/>
      <w:bookmarkEnd w:id="32"/>
    </w:p>
    <w:p>
      <w:p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notePr>
            <w:numFmt w:val="decimal"/>
          </w:footnotePr>
          <w:type w:val="nextPage"/>
          <w:pgSz w:w="11906" w:h="16838"/>
          <w:pgMar w:left="851" w:right="567" w:gutter="0" w:header="680" w:top="737" w:footer="0" w:bottom="567"/>
          <w:pgNumType w:fmt="decimal"/>
          <w:formProt w:val="false"/>
          <w:titlePg/>
          <w:textDirection w:val="lrTb"/>
          <w:docGrid w:type="default" w:linePitch="360" w:charSpace="0"/>
        </w:sectPr>
        <w:pStyle w:val="Heading1"/>
        <w:tabs>
          <w:tab w:val="clear" w:pos="0"/>
        </w:tabs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spacing w:before="0" w:after="0"/>
        <w:rPr>
          <w:lang w:val="ru-RU"/>
        </w:rPr>
      </w:pPr>
      <w:bookmarkStart w:id="33" w:name="__RefHeading___Toc1482_3044855101"/>
      <w:bookmarkStart w:id="34" w:name="_Toc51339698"/>
      <w:bookmarkStart w:id="35" w:name="_Toc139986341"/>
      <w:bookmarkStart w:id="36" w:name="_Toc46743511"/>
      <w:bookmarkEnd w:id="33"/>
      <w:r>
        <w:rPr/>
        <w:t xml:space="preserve">Требования к </w:t>
      </w:r>
      <w:bookmarkEnd w:id="36"/>
      <w:r>
        <w:rPr>
          <w:lang w:val="ru-RU"/>
        </w:rPr>
        <w:t>качеству продукции</w:t>
      </w:r>
      <w:bookmarkEnd w:id="35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Наименование продукции (позиция №1-36 Таблицы 1.1): запасные части комплексной системы безопасности (аварийный запас).</w:t>
      </w:r>
    </w:p>
    <w:p>
      <w:pPr>
        <w:pStyle w:val="Heading1"/>
        <w:keepLines/>
        <w:tabs>
          <w:tab w:val="clear" w:pos="0"/>
        </w:tabs>
        <w:spacing w:before="0" w:after="0"/>
        <w:ind w:left="0" w:hanging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7" w:name="_Toc13998634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7"/>
      <w:r>
        <w:rPr>
          <w:sz w:val="24"/>
          <w:szCs w:val="24"/>
        </w:rPr>
        <w:t xml:space="preserve"> </w:t>
      </w:r>
      <w:bookmarkEnd w:id="34"/>
      <w:r>
        <w:rPr>
          <w:bCs/>
          <w:sz w:val="24"/>
          <w:szCs w:val="24"/>
        </w:rPr>
        <w:tab/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2.2.1  </w:t>
      </w:r>
      <w:r>
        <w:rPr>
          <w:sz w:val="24"/>
          <w:szCs w:val="24"/>
          <w:lang w:eastAsia="x-none"/>
        </w:rPr>
        <w:t>Указанные в технических требованиях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объеме, установленном в требованиях к продукции.</w:t>
      </w:r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tbl>
      <w:tblPr>
        <w:tblStyle w:val="affff9"/>
        <w:tblpPr w:bottomFromText="0" w:horzAnchor="text" w:leftFromText="180" w:rightFromText="180" w:tblpX="0" w:tblpY="1" w:topFromText="0" w:vertAnchor="text"/>
        <w:tblW w:w="150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3"/>
        <w:gridCol w:w="2187"/>
        <w:gridCol w:w="6310"/>
        <w:gridCol w:w="3545"/>
        <w:gridCol w:w="2126"/>
      </w:tblGrid>
      <w:tr>
        <w:trPr>
          <w:tblHeader w:val="true"/>
        </w:trPr>
        <w:tc>
          <w:tcPr>
            <w:tcW w:w="85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1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3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 (Технические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(параметры эквивалентности)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2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5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6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vanish/>
              </w:rPr>
            </w:pPr>
            <w:r>
              <w:rPr>
                <w:rFonts w:cs="Times New Roman"/>
                <w:vanish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vanish/>
              </w:rPr>
            </w:pPr>
            <w:r>
              <w:rPr>
                <w:rFonts w:cs="Times New Roman"/>
                <w:vanish/>
                <w:kern w:val="0"/>
                <w:lang w:val="ru-RU" w:eastAsia="ru-RU" w:bidi="ar-SA"/>
              </w:rPr>
            </w:r>
          </w:p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Товара осуществляется до склада Покупателя по адресу: 655603 Республика Хакасия,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г. Саяногорск, рп. Черемушки, 106, БГСО.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  <w:bookmarkStart w:id="38" w:name="__RefHeading___Toc1486_3044855101"/>
            <w:bookmarkStart w:id="39" w:name="__RefHeading___Toc1486_3044855101"/>
            <w:bookmarkEnd w:id="39"/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Поставляемый Товар в обязательном порядке должен быть промаркирован силами Поставщика.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Товара должна быть достоверной, читаемой и доступной для осмотра и идентификации, обладать износостойкостью.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Наносимая Маркировка и информация должны быть представлены на русском языке.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Товар упаковывается таким образом, чтобы </w:t>
            </w:r>
            <w:bookmarkStart w:id="40" w:name="_GoBack"/>
            <w:bookmarkEnd w:id="40"/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обеспечить жесткие условия транспортировки и хранения. Товар снабжен защитой от пыли и влажности во время транспортировки.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товара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приемке Товара специалистами Филиала осуществляется внешний осмотр Товара и его упаковки, их сохранность, проверяется наличие сопроводительной документации, указанной в п. 3.1. настоящей таблицы, и правильность ее оформления.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течение 10 рабочих дней с даты поступления Товара на склад Покупателя проверяется соответствие типа и технических характеристик Товара, указанных в сопроводительной технической документации, настоящих требованиях.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Входной контроль Товара проводится специалистами соответствующего подразделения Филиала в присутствии представителя Поставщика. В случае выявленного при входном контроле несоответствия Товара (или его части) заявленным техническим параметрам или его неисправности, устранение замечаний производится Поставщиком в порядке, предусмотренном Договором. Расходы, связанные с устранением замечаний, полностью оплачиваются Поставщиком.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Поставка Товара считается выполненной при условии положительного прохождения им входного контроля, контроля качества и подписания УПД.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Технические характеристики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материалов для технического обслуживания систем пожарной сигнализации и пожаротушения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Emerson DS850-3-002 850w.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сервера.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Power-on HB-PC01-580-AC 580w.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Для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сервера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питания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PWR-C45-1000AC Catalyst 4500 1000W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Безопасность -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 xml:space="preserve"> UL 60950, CAN/CSA-C22.2 No. 60950, EN 60950, IEC 60950, TS 001, AS/NZS 3260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Блок питания уличный </w:t>
            </w:r>
          </w:p>
        </w:tc>
        <w:tc>
          <w:tcPr>
            <w:tcW w:w="6310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jc w:val="left"/>
              <w:rPr>
                <w:b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/>
                <w:kern w:val="0"/>
                <w:sz w:val="24"/>
                <w:szCs w:val="24"/>
                <w:lang w:bidi="ar-SA"/>
              </w:rPr>
              <w:t>БРП1-12-4/14-ТИ исп.5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Блок питания уличный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KOMKOM Electronics ИБП 2,5.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Должен быть конструктивно БПУ-1 выполнен в металлическом пылебрызгозащищенном корпусе и может эксплуатироваться на открытом воздухе либо во влажных помещениях. t= -60…+50°С. IP 66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Источник бесперебойного питания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Delta ES R-2k.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Перегрузочная способность -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&gt;150% не более 1 сек %, 105-125 % не более 3 мин, 125-150 % не более 30 сек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Источник бесперебойного питания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Delta ES GES 102N.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Перегрузочная способность -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&gt;150% не более 1 сек %, 105-125 % не более 3 мин, 125-150 % не более 30 сек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Источник бесперебойного питания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ООО “СТАЛТ”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Крон 12/8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АСТА.436234.014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ТУ 26.30.50-005-39435955-2019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Источник бесперебойного питания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ООО “СТАЛТ” Крон 24/8.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АСТА.436234.014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ТУ 26.30.50-005-39435955-2019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Источник переменного напряжения 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Винтовые клеммы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ЗАО «Бастион» SKAT-VN.24АС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Источник питания переменного тока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Винтовые клеммы.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120Вт, выход 24 В 5 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ICP2U DP-1200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Блок реле адресный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Исполнение – 01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С-2000-СП1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Автоматический выключатель </w:t>
            </w:r>
          </w:p>
        </w:tc>
        <w:tc>
          <w:tcPr>
            <w:tcW w:w="6310" w:type="dxa"/>
            <w:tcBorders/>
          </w:tcPr>
          <w:p>
            <w:pPr>
              <w:pStyle w:val="Typography"/>
              <w:widowControl w:val="false"/>
              <w:shd w:val="clear" w:color="auto" w:fill="FFFFFF"/>
              <w:spacing w:beforeAutospacing="0" w:before="0" w:afterAutospacing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Legrand RX3 3P 50А (С)</w:t>
            </w:r>
          </w:p>
          <w:p>
            <w:pPr>
              <w:pStyle w:val="Typography"/>
              <w:widowControl w:val="false"/>
              <w:shd w:val="clear" w:color="auto" w:fill="FFFFFF"/>
              <w:spacing w:beforeAutospacing="0" w:before="0" w:afterAutospacing="0" w:after="0"/>
              <w:jc w:val="left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Тип:</w:t>
            </w:r>
            <w:r>
              <w:rPr>
                <w:rStyle w:val="Qshczy"/>
                <w:rFonts w:eastAsia="Times New Roman" w:cs="Times New Roman"/>
                <w:kern w:val="0"/>
                <w:lang w:val="ru-RU" w:eastAsia="ru-RU" w:bidi="ar-SA"/>
              </w:rPr>
              <w:t>модульный</w:t>
            </w:r>
          </w:p>
          <w:p>
            <w:pPr>
              <w:pStyle w:val="Typography"/>
              <w:widowControl w:val="false"/>
              <w:shd w:val="clear" w:color="auto" w:fill="FFFFFF"/>
              <w:spacing w:beforeAutospacing="0" w:before="0" w:afterAutospacing="0" w:after="0"/>
              <w:jc w:val="left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Отключающая способность:</w:t>
            </w:r>
            <w:r>
              <w:rPr>
                <w:rStyle w:val="Qshczy"/>
                <w:rFonts w:eastAsia="Times New Roman" w:cs="Times New Roman"/>
                <w:kern w:val="0"/>
                <w:lang w:val="ru-RU" w:eastAsia="ru-RU" w:bidi="ar-SA"/>
              </w:rPr>
              <w:t>6 кА</w:t>
            </w:r>
          </w:p>
          <w:p>
            <w:pPr>
              <w:pStyle w:val="Typography"/>
              <w:widowControl w:val="false"/>
              <w:shd w:val="clear" w:color="auto" w:fill="FFFFFF"/>
              <w:spacing w:beforeAutospacing="0" w:before="0" w:afterAutospacing="0" w:after="0"/>
              <w:jc w:val="left"/>
              <w:rPr/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Количество полюсов:</w:t>
            </w:r>
            <w:r>
              <w:rPr>
                <w:rStyle w:val="Qshczy"/>
                <w:rFonts w:eastAsia="Times New Roman" w:cs="Times New Roman"/>
                <w:kern w:val="0"/>
                <w:lang w:val="ru-RU" w:eastAsia="ru-RU" w:bidi="ar-SA"/>
              </w:rPr>
              <w:t>4</w:t>
            </w:r>
          </w:p>
          <w:p>
            <w:pPr>
              <w:pStyle w:val="Typography"/>
              <w:widowControl w:val="false"/>
              <w:shd w:val="clear" w:color="auto" w:fill="FFFFFF"/>
              <w:spacing w:beforeAutospacing="0" w:before="0" w:afterAutospacing="0" w:after="0"/>
              <w:jc w:val="left"/>
              <w:rPr>
                <w:rFonts w:ascii="Arial" w:hAnsi="Arial" w:cs="Arial"/>
                <w:color w:val="484F55"/>
                <w:sz w:val="21"/>
                <w:szCs w:val="21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Тип расцепления:</w:t>
            </w:r>
            <w:r>
              <w:rPr>
                <w:rStyle w:val="Qshczy"/>
                <w:rFonts w:eastAsia="Times New Roman" w:cs="Times New Roman"/>
                <w:kern w:val="0"/>
                <w:lang w:val="ru-RU" w:eastAsia="ru-RU" w:bidi="ar-SA"/>
              </w:rPr>
              <w:t>C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Жесткий диск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Style w:val="Strong"/>
                <w:b w:val="false"/>
                <w:color w:val="222222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HP EG0900FBVFQ 900Gb SAS 2,5“ HDD</w:t>
            </w:r>
            <w:r>
              <w:rPr>
                <w:rStyle w:val="Strong"/>
                <w:rFonts w:eastAsia="Times New Roman" w:cs="Times New Roman"/>
                <w:b w:val="false"/>
                <w:color w:val="222222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rFonts w:eastAsia="Times New Roman" w:cs="Times New Roman"/>
                <w:b w:val="false"/>
                <w:color w:val="222222"/>
                <w:kern w:val="0"/>
                <w:sz w:val="24"/>
                <w:szCs w:val="24"/>
                <w:shd w:fill="FFFFFF" w:val="clear"/>
                <w:lang w:val="en-US" w:eastAsia="ru-RU" w:bidi="ar-SA"/>
              </w:rPr>
              <w:t>P/N EG0900FBVFQ 507129-017 641552-004 0B26029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Жесткий диск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EH0300FCBVC HP 300gb 6G 15K 2.5 SAS</w:t>
            </w: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ru-RU" w:eastAsia="ru-RU" w:bidi="ar-SA"/>
              </w:rPr>
              <w:t>Код</w:t>
            </w: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ru-RU" w:eastAsia="ru-RU" w:bidi="ar-SA"/>
              </w:rPr>
              <w:t>товара</w:t>
            </w: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en-US" w:eastAsia="ru-RU" w:bidi="ar-SA"/>
              </w:rPr>
              <w:t>: EH0300FCBVC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lang w:val="en-US"/>
              </w:rPr>
            </w:pP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ru-RU" w:eastAsia="ru-RU" w:bidi="ar-SA"/>
              </w:rPr>
              <w:t>Артикул</w:t>
            </w:r>
            <w:r>
              <w:rPr>
                <w:rFonts w:eastAsia="Times New Roman" w:cs="Times New Roman"/>
                <w:bCs/>
                <w:color w:val="333333"/>
                <w:kern w:val="0"/>
                <w:sz w:val="24"/>
                <w:szCs w:val="24"/>
                <w:lang w:val="en-US" w:eastAsia="ru-RU" w:bidi="ar-SA"/>
              </w:rPr>
              <w:t>: EH0300FCBVC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Сетевой коммутатор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D-Link DGS-3000-28SC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Коммутатор. - Управляемый 2-уровень, стекируемый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Пропускная способность 128 Гб/с.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 портов 100/1000Base-X SFP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 комбо-порта 100/1000Base-T/SFP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 порта 10GBase-X SFP+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hd w:val="clear" w:color="auto" w:fill="FFFFFF"/>
              <w:suppressAutoHyphens w:val="false"/>
              <w:spacing w:before="0" w:after="0"/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Установка - стойка 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Сетевой коммутатор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6310" w:type="dxa"/>
            <w:tcBorders/>
          </w:tcPr>
          <w:tbl>
            <w:tblPr>
              <w:tblW w:w="13950" w:type="dxa"/>
              <w:jc w:val="left"/>
              <w:tblInd w:w="0" w:type="dxa"/>
              <w:tblLayout w:type="fixed"/>
              <w:tblCellMar>
                <w:top w:w="30" w:type="dxa"/>
                <w:left w:w="0" w:type="dxa"/>
                <w:bottom w:w="30" w:type="dxa"/>
                <w:right w:w="150" w:type="dxa"/>
              </w:tblCellMar>
              <w:tblLook w:noVBand="1" w:val="04a0" w:noHBand="0" w:lastColumn="0" w:firstColumn="1" w:lastRow="0" w:firstRow="1"/>
            </w:tblPr>
            <w:tblGrid>
              <w:gridCol w:w="6976"/>
              <w:gridCol w:w="6973"/>
            </w:tblGrid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shd w:fill="FFFFFF" w:val="clear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Cisco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WS</w:t>
                  </w: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color w:val="000000"/>
                      <w:sz w:val="24"/>
                      <w:szCs w:val="24"/>
                    </w:rPr>
                    <w:t>3750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G</w:t>
                  </w:r>
                  <w:r>
                    <w:rPr>
                      <w:color w:val="000000"/>
                      <w:sz w:val="24"/>
                      <w:szCs w:val="24"/>
                    </w:rPr>
                    <w:t>-24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TS</w:t>
                  </w: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S</w:t>
                  </w:r>
                  <w:r>
                    <w:rPr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color w:val="000000"/>
                      <w:sz w:val="24"/>
                      <w:szCs w:val="24"/>
                      <w:lang w:val="en-US"/>
                    </w:rPr>
                    <w:t>U</w:t>
                  </w:r>
                  <w:r>
                    <w:rPr>
                      <w:sz w:val="24"/>
                      <w:szCs w:val="24"/>
                      <w:shd w:fill="FFFFFF" w:val="clear"/>
                    </w:rPr>
                    <w:t xml:space="preserve"> </w:t>
                  </w:r>
                </w:p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Тип коммутатора - управляемый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Управляемый L3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Тип основных портов -  GigabitEthernet RJ45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GigabitEthernet RJ45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Интерфейсы 10/100/1000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– 24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24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Интерфейсы 1000BaseX SFP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– 4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4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Тип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Uplink </w:t>
                  </w:r>
                  <w:r>
                    <w:rPr>
                      <w:sz w:val="24"/>
                      <w:szCs w:val="24"/>
                      <w:shd w:fill="FFFFFF" w:val="clear"/>
                    </w:rPr>
                    <w:t>портов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 GigabitEthernet SFP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GigabitEthernet SFP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Поддержка стекирования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– да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Да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Количество VLAN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- 1005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1005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Размер таблицы MAC адресов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– 12000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12000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Размер таблицы маршрутизации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- 11000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11000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Протоколы маршрутизации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</w:t>
                  </w:r>
                  <w:r>
                    <w:rPr>
                      <w:sz w:val="24"/>
                      <w:szCs w:val="24"/>
                      <w:shd w:fill="FFFFFF" w:val="clear"/>
                    </w:rPr>
                    <w:t xml:space="preserve"> RIP; EIGRP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RIP; EIGRP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Консольный порт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</w:t>
                  </w:r>
                  <w:r>
                    <w:rPr>
                      <w:sz w:val="24"/>
                      <w:szCs w:val="24"/>
                      <w:shd w:fill="FFFFFF" w:val="clear"/>
                    </w:rPr>
                    <w:t xml:space="preserve"> RJ45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RJ45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Интерфейс для стекирования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встроенный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Встроенные</w:t>
                  </w:r>
                </w:p>
              </w:tc>
            </w:tr>
            <w:tr>
              <w:trPr/>
              <w:tc>
                <w:tcPr>
                  <w:tcW w:w="6976" w:type="dxa"/>
                  <w:tcBorders/>
                  <w:shd w:color="auto" w:fill="FFFFFF" w:val="clear"/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Количество основных портов</w:t>
                  </w:r>
                  <w:r>
                    <w:rPr>
                      <w:sz w:val="24"/>
                      <w:szCs w:val="24"/>
                      <w:shd w:fill="FFFFFF" w:val="clear"/>
                      <w:lang w:val="en-US"/>
                    </w:rPr>
                    <w:t xml:space="preserve"> - 24</w:t>
                  </w:r>
                </w:p>
              </w:tc>
              <w:tc>
                <w:tcPr>
                  <w:tcW w:w="6973" w:type="dxa"/>
                  <w:tcBorders/>
                  <w:shd w:color="auto" w:fill="FFFFFF" w:val="clear"/>
                  <w:tcMar>
                    <w:left w:w="150" w:type="dxa"/>
                    <w:right w:w="0" w:type="dxa"/>
                  </w:tcMar>
                </w:tcPr>
                <w:p>
                  <w:pPr>
                    <w:pStyle w:val="Normal"/>
                    <w:widowControl w:val="false"/>
                    <w:suppressAutoHyphens w:val="fals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shd w:fill="FFFFFF" w:val="clear"/>
                    </w:rPr>
                    <w:t>24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SFP-модуль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MOXA SFP-1GLSXLC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 волны, нм 1310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SFP-модуль 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MOXA SFP-1GLXLC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 волны, нм 1310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SFP-модуль 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D-Link DEM-311 GT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Длина волны, нм 850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Медиаконвертер 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pBdr>
                <w:top w:val="single" w:sz="6" w:space="0" w:color="EDEDED"/>
                <w:bottom w:val="single" w:sz="6" w:space="6" w:color="EDEDED"/>
              </w:pBdr>
              <w:shd w:val="clear" w:color="auto" w:fill="FFFFFF"/>
              <w:suppressAutoHyphens w:val="false"/>
              <w:spacing w:before="0" w:after="0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MOXA EDS-510A-3SFP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pBdr>
                <w:top w:val="single" w:sz="6" w:space="0" w:color="EDEDED"/>
                <w:bottom w:val="single" w:sz="6" w:space="6" w:color="EDEDED"/>
              </w:pBdr>
              <w:shd w:val="clear" w:color="auto" w:fill="FFFFFF"/>
              <w:suppressAutoHyphens w:val="false"/>
              <w:spacing w:before="0" w:after="0"/>
              <w:jc w:val="left"/>
              <w:textAlignment w:val="top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Протоколы резервировани -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STP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RSTP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MSTP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Turbo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Ring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1/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v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2,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Turbo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Chain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Link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Aggregatio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Блок обработки и индикации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6 абонентов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Аргус-спектр БОИ-6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Обязательно подключение до трех БОИ–6 к одному РПУ, выход RS-232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Вентилятор для сервера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HP REV.01 GFM0412SS-DD01 DC12V 1.82A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Напряжение12V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ПартномерGFM0412SS-DD01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Для серверовDL360e Gen8 DL360p Gen8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Размеры40x40x56mm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Обороты10000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Модуль для встраивания в коммутаторы серии Cisco Catalyst 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Cisco Catalyst WS-X4606-X2-E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Скорость передачи данных (макс)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 Gbit/s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Турникет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Ооторный с электромеханическим приводом, полноростовый. Для эксплуатации внутри помещений и на открытом воздухе.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PERCo-RTD-15.1R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Секция ротора 3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Стойка преграждающая в сборе с блоком индикации и кабелем индикации в сборе 1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Секция формирователя прохода в сборе с блоком индикации 2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Балка привода 1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Сборочно-монтажные принадлежности, необходимые для сборки элементов турникета 1 комплект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Пульт управления (длина кабеля 6.6 м) 1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Ключи замков механической разблокировки (по 2 шт. на замок) 4 шт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Комплект документации 1 экз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Комплект ЗИП 1 экз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Устройство радиоприемное аналоговое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(исполнение 2), литера 1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Аргус-спектр РПУ-А</w:t>
            </w: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Рабочие частоты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433.5 – 434.4 МГц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Вид модуляции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Узкополосная частотная манипуляция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Чувствительность, не менее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 мкВ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Напряжение питания, ток потребления, не более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10 - 15 В, 50 мА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Габаритные размеры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95 х 106 х 62 мм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Диапазон рабочих температур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rPr>
                <w:spacing w:val="2"/>
                <w:sz w:val="24"/>
                <w:szCs w:val="24"/>
              </w:rPr>
            </w:pP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–</w:t>
            </w:r>
            <w:r>
              <w:rPr>
                <w:rFonts w:eastAsia="Times New Roman" w:cs="Times New Roman"/>
                <w:spacing w:val="2"/>
                <w:kern w:val="0"/>
                <w:sz w:val="24"/>
                <w:szCs w:val="24"/>
                <w:lang w:val="ru-RU" w:eastAsia="ru-RU" w:bidi="ar-SA"/>
              </w:rPr>
              <w:t>20 ... +50 °С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Замок электромагнитный 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24В, 180 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Рокса Энтранс AL-180-24 Pemium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Артикул производителя: AL004376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Извещатель охранный ИК адресный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ИОИКа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Артикул производителя: 213-480-683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>
          <w:trHeight w:val="1120" w:hRule="atLeast"/>
        </w:trPr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Извещатель охранный магнитоконтактный адресный</w:t>
            </w:r>
          </w:p>
        </w:tc>
        <w:tc>
          <w:tcPr>
            <w:tcW w:w="6310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jc w:val="left"/>
              <w:rPr>
                <w:b w:val="false"/>
                <w:bCs/>
                <w:color w:val="383838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kern w:val="0"/>
                <w:sz w:val="24"/>
                <w:szCs w:val="24"/>
                <w:lang w:bidi="ar-SA"/>
              </w:rPr>
              <w:t>Болид ИОМКа</w:t>
            </w:r>
            <w:r>
              <w:rPr>
                <w:rFonts w:cs="Times New Roman"/>
                <w:b w:val="false"/>
                <w:bCs/>
                <w:color w:val="383838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pStyle w:val="Heading1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jc w:val="left"/>
              <w:rPr>
                <w:b w:val="false"/>
                <w:color w:val="383838"/>
                <w:sz w:val="24"/>
                <w:szCs w:val="24"/>
              </w:rPr>
            </w:pPr>
            <w:r>
              <w:rPr>
                <w:rFonts w:cs="Times New Roman"/>
                <w:b w:val="false"/>
                <w:bCs/>
                <w:color w:val="383838"/>
                <w:kern w:val="0"/>
                <w:sz w:val="24"/>
                <w:szCs w:val="24"/>
                <w:lang w:bidi="ar-SA"/>
              </w:rPr>
              <w:t>С2000-СМК исп.04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Извещатель пожарный дымовой оптико-электронный адресный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ДИП-34ПА-04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Наличие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полной совместимости с контроллером "С2000-КДЛ" и "С2000-КДЛ-2И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Извещатель пожарный дымовой оптико-электронный аналоговый</w:t>
            </w:r>
          </w:p>
        </w:tc>
        <w:tc>
          <w:tcPr>
            <w:tcW w:w="6310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jc w:val="left"/>
              <w:rPr>
                <w:b w:val="false"/>
                <w:bCs/>
                <w:color w:val="1C1C1C"/>
                <w:sz w:val="24"/>
                <w:szCs w:val="24"/>
              </w:rPr>
            </w:pPr>
            <w:r>
              <w:rPr>
                <w:rFonts w:cs="Times New Roman"/>
                <w:b w:val="false"/>
                <w:color w:val="000000"/>
                <w:kern w:val="0"/>
                <w:sz w:val="24"/>
                <w:szCs w:val="24"/>
                <w:lang w:bidi="ar-SA"/>
              </w:rPr>
              <w:t>Болид ИПДОЭан</w:t>
            </w:r>
            <w:r>
              <w:rPr>
                <w:rFonts w:cs="Times New Roman"/>
                <w:b w:val="false"/>
                <w:bCs/>
                <w:color w:val="1C1C1C"/>
                <w:kern w:val="0"/>
                <w:sz w:val="24"/>
                <w:szCs w:val="24"/>
                <w:lang w:bidi="ar-SA"/>
              </w:rPr>
              <w:t xml:space="preserve"> </w:t>
            </w:r>
          </w:p>
          <w:p>
            <w:pPr>
              <w:pStyle w:val="Heading1"/>
              <w:widowControl w:val="false"/>
              <w:shd w:val="clear" w:color="auto" w:fill="FFFFFF"/>
              <w:suppressAutoHyphens w:val="true"/>
              <w:spacing w:before="0" w:after="0"/>
              <w:ind w:left="0" w:hanging="0"/>
              <w:jc w:val="left"/>
              <w:rPr>
                <w:b w:val="false"/>
                <w:color w:val="1C1C1C"/>
                <w:sz w:val="24"/>
                <w:szCs w:val="24"/>
              </w:rPr>
            </w:pPr>
            <w:r>
              <w:rPr>
                <w:rFonts w:cs="Times New Roman"/>
                <w:b w:val="false"/>
                <w:bCs/>
                <w:color w:val="1C1C1C"/>
                <w:kern w:val="0"/>
                <w:sz w:val="24"/>
                <w:szCs w:val="24"/>
                <w:lang w:bidi="ar-SA"/>
              </w:rPr>
              <w:t>ДИП-34А-04 (ИП 212-34А-04)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Извещатель пожарный ручной адресный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ИПР513-3А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Питание по двухпроводной линии связи от С2000-КДЛ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Кнопка тревожной сигнализации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НИЦ «Охрана» ИO-101-2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 наличие нормально-замкнутого и нормально-разомкнутого контактов.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Панель управления и контроля охранно-пожарной сигнализации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С-2000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Обязательно исполнение 01.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Преобразователь интерфейса </w:t>
            </w:r>
          </w:p>
        </w:tc>
        <w:tc>
          <w:tcPr>
            <w:tcW w:w="6310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RS-485 в RS-232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Болид ПМ-ГР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Обязательно наличие гальванической развязки.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Привод защитных рольставней</w:t>
            </w:r>
          </w:p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ALUTECH AM2-PP/80-15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Крутящий момент, Н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Скорость вращения, об/мин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Диаметр вала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70 мм, 102 мм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Встроенное радиоуправление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Аварийное открывание (NHK)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Тип концевых выключателей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Механические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Источник питания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сеть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Номинальное напряжение, В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Номинальный ток, А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1.5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Номинальная мощность, Вт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330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Количество проводов в кабеле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Вес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7.86 кг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Длина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736 мм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Максимально оборотов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22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before="0" w:after="0"/>
              <w:jc w:val="left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Пылевлагозащита -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IP44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Указание характеристик/наименования,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товара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en-US" w:eastAsia="ru-RU" w:bidi="ar-SA"/>
              </w:rPr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lang w:val="en-US"/>
              </w:rPr>
            </w:pPr>
            <w:r>
              <w:rPr>
                <w:rFonts w:cs="Times New Roman"/>
                <w:kern w:val="0"/>
                <w:lang w:val="en-US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гарантии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36 месяцев с даты подписания товарной накладной (по форме УПД).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товар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41" w:name="__RefHeading___Toc1488_3044855101"/>
            <w:bookmarkEnd w:id="4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Паспорт/ РЭ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 товаром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-36" w:hanging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Поставщик обязан одновременно с передачей товара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47" w:hanging="283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технический паспорт;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47" w:hanging="283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руководство по эксплуатации;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47" w:hanging="283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47" w:hanging="283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247" w:hanging="283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товарную накладную унифицированной формы УПД в 2 экз.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tabs>
                <w:tab w:val="clear" w:pos="708"/>
              </w:tabs>
              <w:suppressAutoHyphens w:val="true"/>
              <w:spacing w:before="0" w:after="0"/>
              <w:ind w:left="0" w:hanging="36"/>
              <w:jc w:val="left"/>
              <w:rPr>
                <w:bCs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продукция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x-none" w:bidi="ar-SA"/>
              </w:rPr>
              <w:t xml:space="preserve">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Назначенный срок службы, не менее, лет</w:t>
            </w:r>
          </w:p>
        </w:tc>
        <w:tc>
          <w:tcPr>
            <w:tcW w:w="63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15 лет.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Предложение по сроку службы на товар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Паспорт/ РЭ/ ОТ 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849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1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году происхождения поставляемой продукции</w:t>
            </w:r>
          </w:p>
        </w:tc>
        <w:tc>
          <w:tcPr>
            <w:tcW w:w="63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 xml:space="preserve">Поставляемая продукция должна быть новой (год выпуска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должен превышать 1 года на дату поставки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ar-SA" w:bidi="ar-SA"/>
              </w:rPr>
              <w:t>), не бывшей в употреблении.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rPr>
          <w:rStyle w:val="Style8"/>
          <w:b w:val="false"/>
          <w:iCs/>
          <w:sz w:val="24"/>
          <w:szCs w:val="24"/>
        </w:rPr>
      </w:pPr>
      <w:r>
        <w:rPr>
          <w:rStyle w:val="Style8"/>
          <w:b w:val="false"/>
          <w:iCs/>
          <w:sz w:val="24"/>
          <w:szCs w:val="24"/>
        </w:rPr>
        <w:t xml:space="preserve"> </w:t>
      </w:r>
    </w:p>
    <w:p>
      <w:pPr>
        <w:pStyle w:val="Heading1"/>
        <w:keepLines/>
        <w:numPr>
          <w:ilvl w:val="0"/>
          <w:numId w:val="3"/>
        </w:numPr>
        <w:spacing w:before="0" w:after="0"/>
        <w:ind w:left="357" w:hanging="357"/>
        <w:jc w:val="center"/>
        <w:rPr>
          <w:sz w:val="24"/>
          <w:szCs w:val="24"/>
          <w:lang w:val="ru-RU"/>
        </w:rPr>
      </w:pPr>
      <w:bookmarkStart w:id="42" w:name="__RefHeading___Toc1490_3044855101"/>
      <w:bookmarkStart w:id="43" w:name="_Toc139986345"/>
      <w:bookmarkStart w:id="44" w:name="_Toc53393312"/>
      <w:bookmarkEnd w:id="42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4"/>
      <w:r>
        <w:rPr>
          <w:sz w:val="24"/>
          <w:szCs w:val="24"/>
          <w:lang w:val="ru-RU"/>
        </w:rPr>
        <w:t xml:space="preserve"> на этапе закупки</w:t>
      </w:r>
      <w:bookmarkEnd w:id="43"/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firstLine="709"/>
        <w:jc w:val="both"/>
        <w:outlineLvl w:val="2"/>
        <w:rPr>
          <w:bCs/>
          <w:sz w:val="24"/>
          <w:szCs w:val="24"/>
        </w:rPr>
      </w:pPr>
      <w:bookmarkStart w:id="45" w:name="__RefHeading___Toc1492_3044855101"/>
      <w:bookmarkStart w:id="46" w:name="_Toc139986346"/>
      <w:bookmarkStart w:id="47" w:name="_Toc139984562"/>
      <w:bookmarkStart w:id="48" w:name="_Toc125443783"/>
      <w:bookmarkEnd w:id="45"/>
      <w:r>
        <w:rPr>
          <w:bCs/>
          <w:sz w:val="24"/>
          <w:szCs w:val="24"/>
        </w:rPr>
        <w:t>3.1.</w:t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закупке, заполненную Спецификацию по форме Приложения № 1 к настоящим ТТ.</w:t>
      </w:r>
      <w:bookmarkEnd w:id="46"/>
      <w:bookmarkEnd w:id="47"/>
      <w:bookmarkEnd w:id="48"/>
      <w:r>
        <w:rPr>
          <w:bCs/>
          <w:sz w:val="24"/>
          <w:szCs w:val="24"/>
        </w:rPr>
        <w:t xml:space="preserve"> Требования к оформлению и составлению документации по ценообразованию указаны в приложении №1 к настоящим ТТ.</w:t>
      </w:r>
    </w:p>
    <w:p>
      <w:pPr>
        <w:pStyle w:val="BodyText"/>
        <w:numPr>
          <w:ilvl w:val="0"/>
          <w:numId w:val="0"/>
        </w:numPr>
        <w:tabs>
          <w:tab w:val="clear" w:pos="708"/>
          <w:tab w:val="left" w:pos="1134" w:leader="none"/>
        </w:tabs>
        <w:spacing w:before="0" w:after="0"/>
        <w:ind w:firstLine="709"/>
        <w:jc w:val="both"/>
        <w:outlineLvl w:val="2"/>
        <w:rPr>
          <w:bCs/>
          <w:sz w:val="24"/>
          <w:szCs w:val="24"/>
        </w:rPr>
      </w:pPr>
      <w:bookmarkStart w:id="49" w:name="__RefHeading___Toc1494_3044855101"/>
      <w:bookmarkStart w:id="50" w:name="_Toc125443784"/>
      <w:bookmarkStart w:id="51" w:name="_Toc139984563"/>
      <w:bookmarkStart w:id="52" w:name="_Toc46743519"/>
      <w:bookmarkStart w:id="53" w:name="_Toc51339699"/>
      <w:bookmarkStart w:id="54" w:name="_Toc139986347"/>
      <w:bookmarkEnd w:id="49"/>
      <w:r>
        <w:rPr>
          <w:bCs/>
          <w:sz w:val="24"/>
          <w:szCs w:val="24"/>
        </w:rPr>
        <w:t>3.2.</w:t>
        <w:tab/>
        <w:t>Дополнительные документы по ценообразованию в состав заявки не включаются.</w:t>
      </w:r>
      <w:bookmarkEnd w:id="50"/>
      <w:bookmarkEnd w:id="51"/>
      <w:bookmarkEnd w:id="52"/>
      <w:bookmarkEnd w:id="53"/>
      <w:bookmarkEnd w:id="54"/>
    </w:p>
    <w:p>
      <w:pPr>
        <w:pStyle w:val="Heading1"/>
        <w:numPr>
          <w:ilvl w:val="0"/>
          <w:numId w:val="3"/>
        </w:numPr>
        <w:spacing w:before="0" w:after="0"/>
        <w:rPr>
          <w:sz w:val="24"/>
          <w:szCs w:val="24"/>
        </w:rPr>
      </w:pPr>
      <w:bookmarkStart w:id="55" w:name="__RefHeading___Toc23308_1323904207"/>
      <w:bookmarkStart w:id="56" w:name="_Toc54279847"/>
      <w:bookmarkStart w:id="57" w:name="_Toc141728508"/>
      <w:bookmarkStart w:id="58" w:name="_Toc54279846"/>
      <w:bookmarkStart w:id="59" w:name="_Toc54279725"/>
      <w:bookmarkEnd w:id="55"/>
      <w:bookmarkEnd w:id="58"/>
      <w:bookmarkEnd w:id="59"/>
      <w:r>
        <w:rPr>
          <w:rFonts w:eastAsia="Times New Roman"/>
          <w:bCs/>
          <w:sz w:val="24"/>
          <w:szCs w:val="24"/>
          <w:lang w:val="ru-RU" w:eastAsia="ru-RU"/>
        </w:rPr>
        <w:t>Приложения</w:t>
      </w:r>
      <w:bookmarkEnd w:id="56"/>
      <w:bookmarkEnd w:id="57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Приложение № 1: </w:t>
      </w:r>
      <w:bookmarkStart w:id="60" w:name="_Hlk87532473"/>
      <w:r>
        <w:rPr>
          <w:bCs/>
          <w:sz w:val="24"/>
          <w:szCs w:val="24"/>
        </w:rPr>
        <w:t>Требования к оформлению и составлению документации по ценообразованию</w:t>
      </w:r>
      <w:bookmarkEnd w:id="60"/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"/>
        </w:rPr>
        <w:footnoteRef/>
      </w:r>
      <w:r>
        <w:rPr/>
        <w:t>КСБ — комплексная система безопасности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sz w:val="24"/>
        <w:b w:val="false"/>
        <w:szCs w:val="24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1" w:customStyle="1">
    <w:name w:val="line number1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ingletext--attr-name-span" w:customStyle="1">
    <w:name w:val="single__text--attr-name-span"/>
    <w:basedOn w:val="DefaultParagraphFont"/>
    <w:qFormat/>
    <w:rsid w:val="006639ea"/>
    <w:rPr/>
  </w:style>
  <w:style w:type="character" w:styleId="Properties-groupname" w:customStyle="1">
    <w:name w:val="properties-group__name"/>
    <w:basedOn w:val="DefaultParagraphFont"/>
    <w:qFormat/>
    <w:rsid w:val="00e117aa"/>
    <w:rPr/>
  </w:style>
  <w:style w:type="character" w:styleId="Label" w:customStyle="1">
    <w:name w:val="label"/>
    <w:basedOn w:val="DefaultParagraphFont"/>
    <w:qFormat/>
    <w:rsid w:val="00e117aa"/>
    <w:rPr/>
  </w:style>
  <w:style w:type="character" w:styleId="Text" w:customStyle="1">
    <w:name w:val="text"/>
    <w:basedOn w:val="DefaultParagraphFont"/>
    <w:qFormat/>
    <w:rsid w:val="00e117aa"/>
    <w:rPr/>
  </w:style>
  <w:style w:type="character" w:styleId="Useradmincontener" w:customStyle="1">
    <w:name w:val="useradmin_contener"/>
    <w:basedOn w:val="DefaultParagraphFont"/>
    <w:qFormat/>
    <w:rsid w:val="00ef4aa7"/>
    <w:rPr/>
  </w:style>
  <w:style w:type="character" w:styleId="Qshczy" w:customStyle="1">
    <w:name w:val="qshczy"/>
    <w:basedOn w:val="DefaultParagraphFont"/>
    <w:qFormat/>
    <w:rsid w:val="003c7f6e"/>
    <w:rPr/>
  </w:style>
  <w:style w:type="character" w:styleId="Linenumber">
    <w:name w:val="line number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Typography" w:customStyle="1">
    <w:name w:val="typography"/>
    <w:basedOn w:val="Normal"/>
    <w:qFormat/>
    <w:rsid w:val="003c7f6e"/>
    <w:pPr>
      <w:suppressAutoHyphens w:val="false"/>
      <w:spacing w:beforeAutospacing="1" w:afterAutospacing="1"/>
    </w:pPr>
    <w:rPr>
      <w:sz w:val="24"/>
      <w:szCs w:val="24"/>
    </w:rPr>
  </w:style>
  <w:style w:type="paragraph" w:styleId="110" w:customStyle="1">
    <w:name w:val="Уровень 1"/>
    <w:basedOn w:val="ListParagraph"/>
    <w:qFormat/>
    <w:rsid w:val="00337b0c"/>
    <w:pPr>
      <w:numPr>
        <w:ilvl w:val="0"/>
        <w:numId w:val="11"/>
      </w:numPr>
      <w:tabs>
        <w:tab w:val="clear" w:pos="708"/>
        <w:tab w:val="left" w:pos="360" w:leader="none"/>
      </w:tabs>
      <w:spacing w:before="360" w:after="240"/>
      <w:ind w:left="720" w:hanging="0"/>
      <w:contextualSpacing w:val="false"/>
      <w:jc w:val="both"/>
    </w:pPr>
    <w:rPr>
      <w:b/>
      <w:sz w:val="32"/>
    </w:rPr>
  </w:style>
  <w:style w:type="paragraph" w:styleId="29" w:customStyle="1">
    <w:name w:val="Уровень 2"/>
    <w:basedOn w:val="110"/>
    <w:qFormat/>
    <w:rsid w:val="00337b0c"/>
    <w:pPr>
      <w:numPr>
        <w:ilvl w:val="1"/>
      </w:numPr>
      <w:tabs>
        <w:tab w:val="left" w:pos="360" w:leader="none"/>
        <w:tab w:val="left" w:pos="1701" w:leader="none"/>
      </w:tabs>
      <w:spacing w:before="0" w:after="0"/>
    </w:pPr>
    <w:rPr>
      <w:b w:val="false"/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7189674361" w:customStyle="1">
    <w:name w:val="71896743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1F18A-FEDE-49C5-80E4-A281592D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Application>AlterOffice/3.4.0.9$Linux_X86_64 LibreOffice_project/b8daf9e823b1a5463a2f48435ddc2e8696e7d4fc</Application>
  <AppVersion>15.0000</AppVersion>
  <Pages>14</Pages>
  <Words>2126</Words>
  <Characters>14413</Characters>
  <CharactersWithSpaces>16064</CharactersWithSpaces>
  <Paragraphs>538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2025-03-19T03:18:00Z</dcterms:created>
  <dc:creator>Быстров Олег Геннадьевич</dc:creator>
  <dc:description/>
  <dc:language>ru-RU</dc:language>
  <cp:lastModifiedBy>maksimovag@corp.gidroogk.com</cp:lastModifiedBy>
  <cp:lastPrinted>2026-05-13T03:33:00Z</cp:lastPrinted>
  <dcterms:modified xsi:type="dcterms:W3CDTF">2026-05-14T12:38:00Z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