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highlight w:val="white"/>
        </w:rPr>
      </w:pPr>
      <w:r>
        <w:rPr>
          <w:highlight w:val="white"/>
        </w:rPr>
      </w:r>
    </w:p>
    <w:p>
      <w:pPr>
        <w:pStyle w:val="Normal"/>
        <w:spacing w:lineRule="auto" w:line="240"/>
        <w:ind w:left="0" w:right="0" w:firstLine="708"/>
        <w:jc w:val="center"/>
        <w:rPr>
          <w:rFonts w:ascii="Liberation Serif" w:hAnsi="Liberation Serif" w:eastAsia="Times New Roman" w:cs="Times New Roman"/>
          <w:b/>
          <w:b/>
          <w:bCs/>
          <w:i w:val="false"/>
          <w:i w:val="false"/>
          <w:strike w:val="false"/>
          <w:dstrike w:val="false"/>
          <w:outline w:val="false"/>
          <w:shadow w:val="false"/>
          <w:color w:val="00000A"/>
          <w:sz w:val="24"/>
          <w:szCs w:val="24"/>
          <w:highlight w:val="white"/>
          <w:u w:val="none"/>
          <w:em w:val="none"/>
          <w:lang w:val="ru-RU" w:eastAsia="ru-RU" w:bidi="ar-SA"/>
        </w:rPr>
      </w:pPr>
      <w:r>
        <w:rPr>
          <w:rFonts w:eastAsia="Times New Roman" w:cs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A"/>
          <w:sz w:val="24"/>
          <w:szCs w:val="24"/>
          <w:highlight w:val="white"/>
          <w:u w:val="none"/>
          <w:em w:val="none"/>
          <w:lang w:val="ru-RU" w:eastAsia="ru-RU" w:bidi="ar-SA"/>
        </w:rPr>
        <w:t>ОКПД2  71.12.35.110 Выполнение кадастровых работ для целей  оформления прав землепользования, установления (корректировки) охранных зон электросетевых объектов, изготовления технических планов для постановки на кадастровый учет объектов недвижимости (в том числе в результате разукрупнения электросетевых комплексов),  расположенных на территории Приморского края</w:t>
      </w:r>
    </w:p>
    <w:p>
      <w:pPr>
        <w:sectPr>
          <w:headerReference w:type="default" r:id="rId2"/>
          <w:type w:val="nextPage"/>
          <w:pgSz w:w="11906" w:h="16838"/>
          <w:pgMar w:left="1134" w:right="851" w:header="680" w:top="1134" w:footer="0" w:bottom="992" w:gutter="0"/>
          <w:pgNumType w:fmt="decimal"/>
          <w:formProt w:val="false"/>
          <w:textDirection w:val="lrTb"/>
          <w:docGrid w:type="default" w:linePitch="360" w:charSpace="4294952959"/>
        </w:sectPr>
        <w:pStyle w:val="Normal"/>
        <w:bidi w:val="0"/>
        <w:jc w:val="center"/>
        <w:rPr>
          <w:rFonts w:eastAsia="Times New Roman" w:cs="Times New Roman"/>
          <w:b w:val="false"/>
          <w:b w:val="false"/>
          <w:bCs w:val="false"/>
          <w:i/>
          <w:i/>
          <w:iCs/>
          <w:color w:val="00000A"/>
          <w:sz w:val="24"/>
          <w:szCs w:val="24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/>
          <w:iCs/>
          <w:color w:val="00000A"/>
          <w:sz w:val="24"/>
          <w:szCs w:val="24"/>
          <w:highlight w:val="white"/>
          <w:lang w:val="ru-RU" w:eastAsia="ru-RU" w:bidi="ar-SA"/>
        </w:rPr>
      </w:r>
    </w:p>
    <w:p>
      <w:pPr>
        <w:pStyle w:val="NormalWeb"/>
        <w:spacing w:before="0" w:after="0"/>
        <w:ind w:left="0" w:right="0" w:firstLine="49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СОДЕРЖАНИЕ</w:t>
      </w:r>
    </w:p>
    <w:p>
      <w:pPr>
        <w:pStyle w:val="17"/>
        <w:tabs>
          <w:tab w:val="left" w:pos="560" w:leader="none"/>
          <w:tab w:val="right" w:pos="9911" w:leader="dot"/>
        </w:tabs>
        <w:rPr/>
      </w:pPr>
      <w:r>
        <w:fldChar w:fldCharType="begin"/>
      </w:r>
      <w:r>
        <w:instrText> TOC \o "1-4" \h</w:instrText>
      </w:r>
      <w:r>
        <w:fldChar w:fldCharType="separate"/>
      </w:r>
      <w:hyperlink w:anchor="_Toc137820507">
        <w:r>
          <w:rPr>
            <w:rStyle w:val="Style24"/>
          </w:rPr>
          <w:t>1.</w:t>
        </w:r>
      </w:hyperlink>
      <w:hyperlink w:anchor="_Toc137820507">
        <w:r>
          <w:rPr>
            <w:webHidden/>
          </w:rPr>
          <w:fldChar w:fldCharType="begin"/>
        </w:r>
        <w:r>
          <w:rPr>
            <w:webHidden/>
          </w:rPr>
          <w:instrText>PAGEREF _Toc137820507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b w:val="false"/>
            <w:bCs w:val="false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07">
        <w:r>
          <w:rPr>
            <w:webHidden/>
          </w:rPr>
          <w:fldChar w:fldCharType="begin"/>
        </w:r>
        <w:r>
          <w:rPr>
            <w:webHidden/>
          </w:rPr>
          <w:instrText>PAGEREF _Toc137820507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Общие сведения</w:t>
          <w:tab/>
          <w:t>3</w:t>
        </w:r>
        <w:r>
          <w:rPr>
            <w:webHidden/>
          </w:rPr>
          <w:fldChar w:fldCharType="end"/>
        </w:r>
      </w:hyperlink>
    </w:p>
    <w:p>
      <w:pPr>
        <w:pStyle w:val="42"/>
        <w:tabs>
          <w:tab w:val="left" w:pos="1120" w:leader="none"/>
          <w:tab w:val="right" w:pos="9911" w:leader="dot"/>
        </w:tabs>
        <w:rPr/>
      </w:pPr>
      <w:hyperlink w:anchor="_Toc137820508">
        <w:r>
          <w:rPr>
            <w:rStyle w:val="Style24"/>
            <w:iCs/>
          </w:rPr>
          <w:t>1.1.</w:t>
        </w:r>
      </w:hyperlink>
      <w:hyperlink w:anchor="_Toc137820508">
        <w:r>
          <w:rPr>
            <w:webHidden/>
          </w:rPr>
          <w:fldChar w:fldCharType="begin"/>
        </w:r>
        <w:r>
          <w:rPr>
            <w:webHidden/>
          </w:rPr>
          <w:instrText>PAGEREF _Toc137820508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08">
        <w:r>
          <w:rPr>
            <w:webHidden/>
          </w:rPr>
          <w:fldChar w:fldCharType="begin"/>
        </w:r>
        <w:r>
          <w:rPr>
            <w:webHidden/>
          </w:rPr>
          <w:instrText>PAGEREF _Toc137820508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Наименование закупаемой продукции.</w:t>
          <w:tab/>
          <w:t>3</w:t>
        </w:r>
        <w:r>
          <w:rPr>
            <w:webHidden/>
          </w:rPr>
          <w:fldChar w:fldCharType="end"/>
        </w:r>
      </w:hyperlink>
    </w:p>
    <w:p>
      <w:pPr>
        <w:pStyle w:val="42"/>
        <w:tabs>
          <w:tab w:val="left" w:pos="1120" w:leader="none"/>
          <w:tab w:val="right" w:pos="9911" w:leader="dot"/>
        </w:tabs>
        <w:rPr/>
      </w:pPr>
      <w:hyperlink w:anchor="_Toc137820509">
        <w:r>
          <w:rPr>
            <w:rStyle w:val="Style24"/>
            <w:iCs/>
          </w:rPr>
          <w:t>1.2.</w:t>
        </w:r>
      </w:hyperlink>
      <w:hyperlink w:anchor="_Toc137820509">
        <w:r>
          <w:rPr>
            <w:webHidden/>
          </w:rPr>
          <w:fldChar w:fldCharType="begin"/>
        </w:r>
        <w:r>
          <w:rPr>
            <w:webHidden/>
          </w:rPr>
          <w:instrText>PAGEREF _Toc137820509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09">
        <w:r>
          <w:rPr>
            <w:webHidden/>
          </w:rPr>
          <w:fldChar w:fldCharType="begin"/>
        </w:r>
        <w:r>
          <w:rPr>
            <w:webHidden/>
          </w:rPr>
          <w:instrText>PAGEREF _Toc137820509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Цель выполнения работ</w:t>
          <w:tab/>
          <w:t>3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right" w:pos="9911" w:leader="dot"/>
        </w:tabs>
        <w:rPr/>
      </w:pPr>
      <w:hyperlink w:anchor="_Toc137820511">
        <w:r>
          <w:rPr>
            <w:webHidden/>
          </w:rPr>
          <w:fldChar w:fldCharType="begin"/>
        </w:r>
        <w:r>
          <w:rPr>
            <w:webHidden/>
          </w:rPr>
          <w:instrText>PAGEREF _Toc137820511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Таблица 1. Перечень объектов заказчика</w:t>
          <w:tab/>
          <w:t>3</w:t>
        </w:r>
        <w:r>
          <w:rPr>
            <w:webHidden/>
          </w:rPr>
          <w:fldChar w:fldCharType="end"/>
        </w:r>
      </w:hyperlink>
    </w:p>
    <w:p>
      <w:pPr>
        <w:pStyle w:val="42"/>
        <w:tabs>
          <w:tab w:val="left" w:pos="1120" w:leader="none"/>
          <w:tab w:val="right" w:pos="9911" w:leader="dot"/>
        </w:tabs>
        <w:rPr/>
      </w:pPr>
      <w:hyperlink w:anchor="_Toc137820512">
        <w:r>
          <w:rPr>
            <w:rStyle w:val="Style24"/>
            <w:iCs/>
          </w:rPr>
          <w:t>1.3.</w:t>
        </w:r>
      </w:hyperlink>
      <w:hyperlink w:anchor="_Toc137820512">
        <w:r>
          <w:rPr>
            <w:webHidden/>
          </w:rPr>
          <w:fldChar w:fldCharType="begin"/>
        </w:r>
        <w:r>
          <w:rPr>
            <w:webHidden/>
          </w:rPr>
          <w:instrText>PAGEREF _Toc137820512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2">
        <w:r>
          <w:rPr>
            <w:webHidden/>
          </w:rPr>
          <w:fldChar w:fldCharType="begin"/>
        </w:r>
        <w:r>
          <w:rPr>
            <w:webHidden/>
          </w:rPr>
          <w:instrText>PAGEREF _Toc137820512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left" w:pos="560" w:leader="none"/>
          <w:tab w:val="right" w:pos="9911" w:leader="dot"/>
        </w:tabs>
        <w:rPr/>
      </w:pPr>
      <w:hyperlink w:anchor="_Toc137820513">
        <w:r>
          <w:rPr>
            <w:rStyle w:val="Style24"/>
          </w:rPr>
          <w:t>2.</w:t>
        </w:r>
      </w:hyperlink>
      <w:hyperlink w:anchor="_Toc137820513">
        <w:r>
          <w:rPr>
            <w:webHidden/>
          </w:rPr>
          <w:fldChar w:fldCharType="begin"/>
        </w:r>
        <w:r>
          <w:rPr>
            <w:webHidden/>
          </w:rPr>
          <w:instrText>PAGEREF _Toc137820513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b w:val="false"/>
            <w:bCs w:val="false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3">
        <w:r>
          <w:rPr>
            <w:webHidden/>
          </w:rPr>
          <w:fldChar w:fldCharType="begin"/>
        </w:r>
        <w:r>
          <w:rPr>
            <w:webHidden/>
          </w:rPr>
          <w:instrText>PAGEREF _Toc137820513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продукции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42"/>
        <w:tabs>
          <w:tab w:val="left" w:pos="1120" w:leader="none"/>
          <w:tab w:val="right" w:pos="9911" w:leader="dot"/>
        </w:tabs>
        <w:rPr/>
      </w:pPr>
      <w:hyperlink w:anchor="_Toc137820514">
        <w:r>
          <w:rPr>
            <w:rStyle w:val="Style24"/>
            <w:iCs/>
          </w:rPr>
          <w:t>2.1.</w:t>
        </w:r>
      </w:hyperlink>
      <w:hyperlink w:anchor="_Toc137820514">
        <w:r>
          <w:rPr>
            <w:webHidden/>
          </w:rPr>
          <w:fldChar w:fldCharType="begin"/>
        </w:r>
        <w:r>
          <w:rPr>
            <w:webHidden/>
          </w:rPr>
          <w:instrText>PAGEREF _Toc137820514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4">
        <w:r>
          <w:rPr>
            <w:webHidden/>
          </w:rPr>
          <w:fldChar w:fldCharType="begin"/>
        </w:r>
        <w:r>
          <w:rPr>
            <w:webHidden/>
          </w:rPr>
          <w:instrText>PAGEREF _Toc137820514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объемам и срокам выполнения работ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35"/>
        <w:tabs>
          <w:tab w:val="left" w:pos="1120" w:leader="none"/>
          <w:tab w:val="right" w:pos="9911" w:leader="dot"/>
        </w:tabs>
        <w:rPr/>
      </w:pPr>
      <w:hyperlink w:anchor="_Toc137820515">
        <w:r>
          <w:rPr>
            <w:rStyle w:val="Style24"/>
          </w:rPr>
          <w:t>2.1.1.</w:t>
        </w:r>
      </w:hyperlink>
      <w:hyperlink w:anchor="_Toc137820515">
        <w:r>
          <w:rPr>
            <w:webHidden/>
          </w:rPr>
          <w:fldChar w:fldCharType="begin"/>
        </w:r>
        <w:r>
          <w:rPr>
            <w:webHidden/>
          </w:rPr>
          <w:instrText>PAGEREF _Toc137820515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5">
        <w:r>
          <w:rPr>
            <w:webHidden/>
          </w:rPr>
          <w:fldChar w:fldCharType="begin"/>
        </w:r>
        <w:r>
          <w:rPr>
            <w:webHidden/>
          </w:rPr>
          <w:instrText>PAGEREF _Toc137820515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видам и объемам работ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right" w:pos="9911" w:leader="dot"/>
        </w:tabs>
        <w:rPr/>
      </w:pPr>
      <w:hyperlink w:anchor="_Toc137820516">
        <w:r>
          <w:rPr>
            <w:webHidden/>
          </w:rPr>
          <w:fldChar w:fldCharType="begin"/>
        </w:r>
        <w:r>
          <w:rPr>
            <w:webHidden/>
          </w:rPr>
          <w:instrText>PAGEREF _Toc137820516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Таблица 2. Перечень и объем выполняемых работ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35"/>
        <w:tabs>
          <w:tab w:val="left" w:pos="1120" w:leader="none"/>
          <w:tab w:val="right" w:pos="9911" w:leader="dot"/>
        </w:tabs>
        <w:rPr/>
      </w:pPr>
      <w:hyperlink w:anchor="_Toc137820517">
        <w:r>
          <w:rPr>
            <w:rStyle w:val="Style24"/>
          </w:rPr>
          <w:t>2.1.2.</w:t>
        </w:r>
      </w:hyperlink>
      <w:hyperlink w:anchor="_Toc137820517">
        <w:r>
          <w:rPr>
            <w:webHidden/>
          </w:rPr>
          <w:fldChar w:fldCharType="begin"/>
        </w:r>
        <w:r>
          <w:rPr>
            <w:webHidden/>
          </w:rPr>
          <w:instrText>PAGEREF _Toc137820517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7">
        <w:r>
          <w:rPr>
            <w:webHidden/>
          </w:rPr>
          <w:fldChar w:fldCharType="begin"/>
        </w:r>
        <w:r>
          <w:rPr>
            <w:webHidden/>
          </w:rPr>
          <w:instrText>PAGEREF _Toc137820517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срокам выполнения работ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right" w:pos="9911" w:leader="dot"/>
        </w:tabs>
        <w:rPr/>
      </w:pPr>
      <w:hyperlink w:anchor="_Toc137820518">
        <w:r>
          <w:rPr>
            <w:webHidden/>
          </w:rPr>
          <w:fldChar w:fldCharType="begin"/>
        </w:r>
        <w:r>
          <w:rPr>
            <w:webHidden/>
          </w:rPr>
          <w:instrText>PAGEREF _Toc137820518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Таблица 3. Требования по срокам выполнения работ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42"/>
        <w:tabs>
          <w:tab w:val="left" w:pos="1120" w:leader="none"/>
          <w:tab w:val="right" w:pos="9911" w:leader="dot"/>
        </w:tabs>
        <w:rPr/>
      </w:pPr>
      <w:hyperlink w:anchor="_Toc137820519">
        <w:r>
          <w:rPr>
            <w:rStyle w:val="Style24"/>
            <w:iCs/>
          </w:rPr>
          <w:t>2.2.</w:t>
        </w:r>
      </w:hyperlink>
      <w:hyperlink w:anchor="_Toc137820519">
        <w:r>
          <w:rPr>
            <w:webHidden/>
          </w:rPr>
          <w:fldChar w:fldCharType="begin"/>
        </w:r>
        <w:r>
          <w:rPr>
            <w:webHidden/>
          </w:rPr>
          <w:instrText>PAGEREF _Toc137820519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9">
        <w:r>
          <w:rPr>
            <w:webHidden/>
          </w:rPr>
          <w:fldChar w:fldCharType="begin"/>
        </w:r>
        <w:r>
          <w:rPr>
            <w:webHidden/>
          </w:rPr>
          <w:instrText>PAGEREF _Toc137820519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качеству работ</w:t>
          <w:tab/>
          <w:t>8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right" w:pos="9911" w:leader="dot"/>
        </w:tabs>
        <w:rPr/>
      </w:pPr>
      <w:hyperlink w:anchor="_Toc137820520">
        <w:r>
          <w:rPr>
            <w:webHidden/>
          </w:rPr>
          <w:fldChar w:fldCharType="begin"/>
        </w:r>
        <w:r>
          <w:rPr>
            <w:webHidden/>
          </w:rPr>
          <w:instrText>PAGEREF _Toc137820520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Таблица 4. Требования к качеству работ</w:t>
          <w:tab/>
          <w:t>8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left" w:pos="560" w:leader="none"/>
          <w:tab w:val="right" w:pos="9911" w:leader="dot"/>
        </w:tabs>
        <w:rPr/>
      </w:pPr>
      <w:hyperlink w:anchor="_Toc137820521">
        <w:r>
          <w:rPr>
            <w:rStyle w:val="Style24"/>
          </w:rPr>
          <w:t>3.</w:t>
        </w:r>
      </w:hyperlink>
      <w:hyperlink w:anchor="_Toc137820521">
        <w:r>
          <w:rPr>
            <w:webHidden/>
          </w:rPr>
          <w:fldChar w:fldCharType="begin"/>
        </w:r>
        <w:r>
          <w:rPr>
            <w:webHidden/>
          </w:rPr>
          <w:instrText>PAGEREF _Toc137820521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b w:val="false"/>
            <w:bCs w:val="false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21">
        <w:r>
          <w:rPr>
            <w:webHidden/>
          </w:rPr>
          <w:fldChar w:fldCharType="begin"/>
        </w:r>
        <w:r>
          <w:rPr>
            <w:webHidden/>
          </w:rPr>
          <w:instrText>PAGEREF _Toc137820521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документации по ценообразованию на этапе закупки</w:t>
          <w:tab/>
          <w:t>13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left" w:pos="560" w:leader="none"/>
          <w:tab w:val="right" w:pos="9911" w:leader="dot"/>
        </w:tabs>
        <w:rPr/>
      </w:pPr>
      <w:hyperlink w:anchor="_Toc137820522">
        <w:r>
          <w:rPr>
            <w:rStyle w:val="Style24"/>
          </w:rPr>
          <w:t>4.</w:t>
        </w:r>
      </w:hyperlink>
      <w:hyperlink w:anchor="_Toc137820522">
        <w:r>
          <w:rPr>
            <w:webHidden/>
          </w:rPr>
          <w:fldChar w:fldCharType="begin"/>
        </w:r>
        <w:r>
          <w:rPr>
            <w:webHidden/>
          </w:rPr>
          <w:instrText>PAGEREF _Toc137820522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b w:val="false"/>
            <w:bCs w:val="false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22">
        <w:r>
          <w:rPr>
            <w:webHidden/>
          </w:rPr>
          <w:fldChar w:fldCharType="begin"/>
        </w:r>
        <w:r>
          <w:rPr>
            <w:webHidden/>
          </w:rPr>
          <w:instrText>PAGEREF _Toc137820522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Приложения</w:t>
          <w:tab/>
          <w:t>13</w:t>
        </w:r>
        <w:r>
          <w:rPr>
            <w:webHidden/>
          </w:rPr>
          <w:fldChar w:fldCharType="end"/>
        </w:r>
      </w:hyperlink>
      <w:r>
        <w:fldChar w:fldCharType="end"/>
      </w:r>
    </w:p>
    <w:p>
      <w:pPr>
        <w:pStyle w:val="Normal"/>
        <w:overflowPunct w:val="false"/>
        <w:rPr/>
      </w:pPr>
      <w:r>
        <w:rPr/>
      </w:r>
    </w:p>
    <w:p>
      <w:pPr>
        <w:pStyle w:val="4"/>
        <w:numPr>
          <w:ilvl w:val="0"/>
          <w:numId w:val="0"/>
        </w:numPr>
        <w:ind w:left="0" w:right="0" w:hanging="0"/>
        <w:rPr/>
      </w:pPr>
      <w:r>
        <w:rPr/>
        <w:t>Общие сведения</w:t>
      </w:r>
    </w:p>
    <w:p>
      <w:pPr>
        <w:pStyle w:val="4"/>
        <w:numPr>
          <w:ilvl w:val="1"/>
          <w:numId w:val="2"/>
        </w:numPr>
        <w:ind w:left="432" w:right="0" w:hanging="432"/>
        <w:rPr/>
      </w:pPr>
      <w:bookmarkStart w:id="0" w:name="_Toc137820508"/>
      <w:bookmarkStart w:id="1" w:name="_Toc46743506"/>
      <w:r>
        <w:rPr/>
        <w:t>Наименование закупаемой продукции</w:t>
      </w:r>
      <w:bookmarkEnd w:id="0"/>
      <w:bookmarkEnd w:id="1"/>
      <w:r>
        <w:rPr>
          <w:lang w:val="ru-RU"/>
        </w:rPr>
        <w:t>.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4"/>
          <w:szCs w:val="24"/>
          <w:u w:val="none"/>
          <w:em w:val="none"/>
          <w:lang w:val="ru-RU" w:eastAsia="ru-RU" w:bidi="ar-SA"/>
        </w:rPr>
        <w:t>Выполнение кадастровых работ для целей  оформления прав землепользования, установления охранных зон электросетевых объектов, изготовления технических планов для постановки на кадастровый учет объектов недвижимости (в том числе в результате разукрупнения электросетевых комплексов),  расположенных на территории Приморского края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6"/>
          <w:szCs w:val="26"/>
          <w:u w:val="none"/>
          <w:em w:val="none"/>
          <w:lang w:val="ru-RU" w:eastAsia="ru-RU" w:bidi="ar-SA"/>
        </w:rPr>
        <w:t>.</w:t>
      </w:r>
    </w:p>
    <w:p>
      <w:pPr>
        <w:pStyle w:val="Normal"/>
        <w:spacing w:lineRule="auto" w:line="240"/>
        <w:ind w:left="0" w:right="0" w:hanging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4"/>
        <w:numPr>
          <w:ilvl w:val="1"/>
          <w:numId w:val="2"/>
        </w:numPr>
        <w:ind w:left="432" w:right="0" w:hanging="432"/>
        <w:rPr/>
      </w:pPr>
      <w:bookmarkStart w:id="2" w:name="_Toc46743507"/>
      <w:bookmarkStart w:id="3" w:name="_Toc137820509"/>
      <w:r>
        <w:rPr/>
        <w:t xml:space="preserve">Цель </w:t>
      </w:r>
      <w:bookmarkEnd w:id="2"/>
      <w:bookmarkEnd w:id="3"/>
      <w:r>
        <w:rPr/>
        <w:t>выполнения работ</w:t>
      </w:r>
    </w:p>
    <w:p>
      <w:pPr>
        <w:pStyle w:val="4"/>
        <w:numPr>
          <w:ilvl w:val="0"/>
          <w:numId w:val="0"/>
        </w:numPr>
        <w:ind w:left="0" w:right="0" w:hanging="0"/>
        <w:jc w:val="both"/>
        <w:rPr/>
      </w:pP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  <w:t xml:space="preserve">- </w:t>
      </w:r>
      <w:r>
        <w:rPr>
          <w:rFonts w:eastAsia="Times New Roman" w:cs="Times New Roman" w:ascii="Liberation Serif" w:hAnsi="Liberation Serif"/>
          <w:b w:val="false"/>
          <w:bCs w:val="false"/>
          <w:color w:val="00000A"/>
          <w:sz w:val="24"/>
          <w:szCs w:val="24"/>
          <w:highlight w:val="white"/>
          <w:lang w:val="ru-RU" w:eastAsia="ru-RU" w:bidi="ar-SA"/>
        </w:rPr>
        <w:t xml:space="preserve">оформление прав землепользования - </w:t>
      </w: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  <w:t>установление публичных сервитутов (далее - ПС) для размещения объектов электросетевого хозяйства, уточнение местоположения границ земельных участков под электросетевыми объектами;</w:t>
      </w:r>
    </w:p>
    <w:p>
      <w:pPr>
        <w:pStyle w:val="Normal"/>
        <w:ind w:left="0" w:right="0" w:hanging="0"/>
        <w:jc w:val="both"/>
        <w:rPr>
          <w:rFonts w:ascii="Liberation Serif" w:hAnsi="Liberation Serif" w:eastAsia="Times New Roman"/>
          <w:b w:val="false"/>
          <w:b w:val="false"/>
          <w:bCs w:val="false"/>
          <w:sz w:val="24"/>
          <w:szCs w:val="24"/>
          <w:highlight w:val="white"/>
          <w:lang w:val="ru-RU" w:eastAsia="ru-RU"/>
        </w:rPr>
      </w:pP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  <w:t>- внесение в ГКН сведений о границах охранных зон (далее - ОЗ) сетевых объектов;</w:t>
      </w:r>
    </w:p>
    <w:p>
      <w:pPr>
        <w:pStyle w:val="Normal"/>
        <w:ind w:left="0" w:right="0" w:hanging="0"/>
        <w:jc w:val="both"/>
        <w:rPr>
          <w:rFonts w:ascii="Liberation Serif" w:hAnsi="Liberation Serif" w:eastAsia="Times New Roman"/>
          <w:b w:val="false"/>
          <w:b w:val="false"/>
          <w:bCs w:val="false"/>
          <w:sz w:val="24"/>
          <w:szCs w:val="24"/>
          <w:highlight w:val="white"/>
          <w:lang w:val="ru-RU" w:eastAsia="ru-RU"/>
        </w:rPr>
      </w:pP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  <w:t>- постановка объектов капитального строительства (далее - ОКС) на кадастровый учет/ определение местоположения границ объектов недвижимости;</w:t>
      </w:r>
    </w:p>
    <w:p>
      <w:pPr>
        <w:pStyle w:val="Normal"/>
        <w:ind w:left="0" w:right="0" w:hanging="0"/>
        <w:jc w:val="both"/>
        <w:rPr>
          <w:rFonts w:ascii="Liberation Serif" w:hAnsi="Liberation Serif" w:eastAsia="Times New Roman"/>
          <w:b w:val="false"/>
          <w:b w:val="false"/>
          <w:bCs w:val="false"/>
          <w:sz w:val="24"/>
          <w:szCs w:val="24"/>
          <w:highlight w:val="white"/>
          <w:lang w:val="ru-RU" w:eastAsia="ru-RU"/>
        </w:rPr>
      </w:pP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  <w:t>- снятие с кадастрового учета и прекращение права собственности в отношении снесенных объектов недвижимости на основании акта обследования (далее — АО);</w:t>
      </w:r>
    </w:p>
    <w:p>
      <w:pPr>
        <w:pStyle w:val="ListParagraph"/>
        <w:tabs>
          <w:tab w:val="left" w:pos="993" w:leader="none"/>
        </w:tabs>
        <w:spacing w:before="0" w:after="0"/>
        <w:ind w:left="0" w:right="0" w:hanging="0"/>
        <w:contextualSpacing/>
        <w:jc w:val="both"/>
        <w:rPr>
          <w:rFonts w:ascii="Liberation Serif" w:hAnsi="Liberation Serif" w:eastAsia="Times New Roman"/>
          <w:b w:val="false"/>
          <w:b w:val="false"/>
          <w:bCs w:val="false"/>
          <w:sz w:val="24"/>
          <w:szCs w:val="24"/>
          <w:highlight w:val="white"/>
          <w:lang w:val="ru-RU" w:eastAsia="ru-RU"/>
        </w:rPr>
      </w:pP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  <w:t>- постановка на кадастровый учет объектов недвижимости, входящих в состав электросетевых комплексов на территории Приморского края, в результате раздела данных комплексов (далее - раздел ОКС).</w:t>
      </w:r>
    </w:p>
    <w:p>
      <w:pPr>
        <w:pStyle w:val="Normal"/>
        <w:ind w:left="624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bookmarkStart w:id="4" w:name="_Toc137820511"/>
      <w:bookmarkEnd w:id="4"/>
      <w:r>
        <w:rPr>
          <w:sz w:val="24"/>
          <w:szCs w:val="24"/>
        </w:rPr>
        <w:t>Таблица 1. Перечень объектов заказчика</w:t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570" w:type="dxa"/>
        <w:jc w:val="left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1821"/>
        <w:gridCol w:w="1821"/>
        <w:gridCol w:w="1821"/>
        <w:gridCol w:w="1823"/>
        <w:gridCol w:w="1821"/>
        <w:gridCol w:w="1821"/>
        <w:gridCol w:w="1820"/>
        <w:gridCol w:w="1822"/>
      </w:tblGrid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Инвентарный номер объекта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Кадастровый номер объекта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Протяженность, км/ 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площадь, кв. м</w:t>
            </w:r>
          </w:p>
        </w:tc>
        <w:tc>
          <w:tcPr>
            <w:tcW w:w="54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Виды работ по объекту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ОКС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ПС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ОЗ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(бесхозяйное имущество)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ВЛ-110 кВ Находка-Учебная № 1,2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протяженность 1650 м, количество опор -12 шт.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PR0030813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ЛЭП 110 кВ "АТЭЦ-А". ВЛ 110 кВ АТЭЦ – ПС «Муравейка» (диспетчерское наименование ВЛ 110 кВ Артемовская ТЭЦ – Муравейка)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25:00:000000:121 (в составе)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12,317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PR0030814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ЛЭП 110 кВ "АТЭЦ-А". ВЛ 110 кВ ПС «Муравейка» - оп. № 157 (69/22) (диспетчерское наименование КВЛ-110 кВ "Океан - Муравейка")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25:00:000000:121 (в составе)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11,17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PR0030815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ЛЭП 110 кВ "АТЭЦ-А". ВЛ 110 кВ оп. № 185 (69/22) – ПС «Горностай» (диспетчерское наименование ВЛ-110 кВ "Лазурная - Океан"/ВЛ-110 кВ "Горностай - Лазурная")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25:00:000000:121 (в составе)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19,13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PR0030816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ЛЭП 110 кВ "АТЭЦ-А". ВЛ 110 кВ ПС «Горностай» - оп. № 330 (диспетчерское наименование ВЛ 110 Зеленый угол - Горностай)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25:00:000000:121 (в составе)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5,24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PR0030817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ЛЭП 110 кВ "АТЭЦ-А". Заходы ВЛ 110 кВ на ПС Зеленый угол оп. № 331 а-331 б (диспетчерское наименование ВЛ 110 Зеленый угол - Горностай)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25:00:000000:121 (в составе)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0,098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PR0030818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ЛЭП 110 кВ "АТЭЦ-А". КВЛ 110 кВ оп.№ 158 - ПС "Океан"(2-х цепный заход на ПС "Океан") (диспетчерское наименование КВЛ-110 кВ "Лазурная - Океан" / КВЛ-110 кВ "Океан - Муравейка")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25:00:000000:121 (в составе)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4,41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PR0029121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2-х цепная ВЛ 110 кВ "ВТЭЦ-2-оп.54" L=1.466 км. (диспетчерское наименование КВЛ 110 ВТЭЦ-2 - Залив (отп. на ПС Голубинка) / КВЛ 110 ВТЭЦ-2 - Орлинная (отп. на ПС Голубинка) и кабельные вставки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25:28:000000:64842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10,858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PR0003183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ВЛ-110КВ А-ГОЛУБИНКА (диспетчерское наименование КВЛ 110 кВ Владивостокская ТЭЦ-2 – Залив с отпайкой на ПС Голубинка) и кабельные вставки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25:28:000000:18559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9,41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PR0006152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ВЛ-16.7 ВЛ 110 ЯРОСЛАВКА -М (диспетчерское наименование ВЛ-110 кВ "Ярославка - Сибирцево/тяг")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25:34:000000:9707 (в составе)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1,43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ПС 35/6 кВ Ульяновская (кадастровый номер земельного участка - 25:27:030106:1052)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25:27:030106:11844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2134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color w:val="000000"/>
                <w:sz w:val="20"/>
                <w:szCs w:val="20"/>
                <w:highlight w:val="white"/>
              </w:rPr>
              <w:t xml:space="preserve">PR0024374 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0"/>
                <w:szCs w:val="20"/>
                <w:highlight w:val="white"/>
              </w:rPr>
              <w:t>(муниципальное имущество, аренда по договору от 26.12.2002 № 26/12)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Электросетевой комплекс П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 110/6 кВ Голубовка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PR0000683 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0"/>
                <w:szCs w:val="20"/>
                <w:highlight w:val="white"/>
              </w:rPr>
              <w:t>(муниципальное имущество, аренда по договору от 26.12.2002 № 26/12)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ПС 110 кВ Екатериновка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sz w:val="20"/>
                <w:szCs w:val="20"/>
              </w:rPr>
              <w:t>500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PR0025672</w:t>
            </w:r>
          </w:p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PR0025671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Залив-Бурная КЛ-110 кВ "Залив-Бурная"- 1 и 2 цепь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25:28:000000:70452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25:28:000000:70451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2,673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PR0029731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КЛ 110 кВ ТЭЦ «Восточная» - «1Р»  L=1,984 км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бесхозяйное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1,984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PR0029732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КЛ 110 кВ ТЭЦ «Восточная» - «2Р»  L=4,741 км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бесхозяйное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4,741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PR0025903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ВЛ 110 Пушкинская — Давыдовка (на участке Раздольная 1 - Давыдовка)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25:10:000000:2191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8,504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PR0005749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252625"/>
                <w:spacing w:val="0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52625"/>
                <w:spacing w:val="0"/>
                <w:sz w:val="20"/>
                <w:szCs w:val="20"/>
              </w:rPr>
              <w:t>ВЛ-35 кВ "Уссурийск-1 - Студгородок"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25:34:000000:11454 (в составе)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+ (корректировка ЗОУИТ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52625"/>
                <w:spacing w:val="0"/>
                <w:sz w:val="20"/>
                <w:szCs w:val="20"/>
              </w:rPr>
              <w:t>25:34-6.6</w:t>
            </w:r>
            <w:r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PR0005844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ВЛ 0,4КВ Ф-3 от ТП№ 3344» «Больница» по ул. Набережная д. 26 а в с. Новокачалинск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PR0027877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ТП-1046 (Трансформаторная подстанция ТП-1046, назначение: нежилое, 1-этажный, общая площадь 43,5 кв.м)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25:36:010102:601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 (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 xml:space="preserve">внесение сведений в ЕГРН об установленном ПС по постановлению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№ 559 от 01.04.2020)</w:t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PR0027974</w:t>
            </w:r>
          </w:p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КЛ 6 кВ "Подстанция Большой Камень фидер 50"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25:36:000000:310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+ (в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несени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е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 xml:space="preserve"> сведений в ЕГРН об установленном ПС по постановлению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№792 от 28.05.2020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)</w:t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PR0027967</w:t>
            </w:r>
          </w:p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КЛ 6 кВ "Подстанция Большой Камень фидер 42"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25:36:000000:984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+ (в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несени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е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 xml:space="preserve"> сведений в ЕГРН об установленном ПС по постановлению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№769 от 27.05.2020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)</w:t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PR0027969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ВЛ 6 кВ "Подстанция БК-1 фидер 42"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25:36:000000:311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1,74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в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несени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е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 xml:space="preserve"> сведений в ЕГРН об установленном ПС по постановлению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№770 от 27.05.2020</w:t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PR0027981</w:t>
            </w:r>
          </w:p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КЛ 6 кВ "ПС "Большой Камень" фидер 29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25:36:000000:44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+ (в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несени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е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 xml:space="preserve"> сведений в ЕГРН об установленном ПС по постановлению №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1487 от 01.09.2020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)</w:t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PR0027980</w:t>
            </w:r>
          </w:p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КЛ 6 кВ ПС "Большой Камень" фидер 17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25:36:000000:116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+ (в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несени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е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 xml:space="preserve"> сведений в ЕГРН об установленном ПС по постановлению №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1486 от 01.09.2020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)</w:t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PR0027976</w:t>
            </w:r>
          </w:p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КЛ 6 кВ ПС "Большой Камень" фидер 31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25:36:000000:309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+ (в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несени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е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 xml:space="preserve"> сведений в ЕГРН об установленном ПС по постановлению №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1469 от 27.08.2020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)</w:t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PR0028005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ВЛ 6 кВ "ПС Большой Камень" фидер 15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25:36:000000:215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+ (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внесени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е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 xml:space="preserve"> сведений в ЕГРН об установленном ПС по постановлению №634 от 22.03.2021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)</w:t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PR0003379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ВЛ 110 кВ Береговая-2 – Береговая-1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25:36:000000:2377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1,7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PR0031286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ВЛ-6 кВ от оп. 22/21 Ф-10 ПС "Вл. Александровское" L-0,058 км, с. Вл-Александровское (ул. Ватутина)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0,058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PR0002818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ВЛ 110 кВ Береговая-2 – Топаз – Новый мир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25:00:000000:31910 (часть сооружения)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2,350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PR0030667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L-2,96 2-х цепная ВЛ-110 кВ заходы на ПС "Агрокомплекс" от ВЛ-110 кВ "ЖБИ-130 - Павловка-2" 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2,96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PR0029020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ВЛ-27,5 кВ до КТП №7563 «Почта», с. Тигровое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0,082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PR0030666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2-х цепная ВЛ-110 кВ заходы на ПС "Ключи" от ВЛ-110 кВ "Спасск-Ярославка" L=2,71 км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2,71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PR0031696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2-х цепная ВЛ-110 кВ заходы на ПС 110 кВ "Садовая"  L=0,05 км.</w:t>
            </w:r>
          </w:p>
        </w:tc>
        <w:tc>
          <w:tcPr>
            <w:tcW w:w="182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0,05</w:t>
            </w:r>
          </w:p>
        </w:tc>
        <w:tc>
          <w:tcPr>
            <w:tcW w:w="1821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2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ВСЕГО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протяженность ЛЭП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105,</w:t>
            </w:r>
            <w:r>
              <w:rPr>
                <w:rFonts w:ascii="Liberation Serif" w:hAnsi="Liberation Serif"/>
                <w:sz w:val="20"/>
                <w:szCs w:val="20"/>
              </w:rPr>
              <w:t>265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Кол-во линейных объектов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Кол-во площадных объектов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51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1"/>
        <w:numPr>
          <w:ilvl w:val="0"/>
          <w:numId w:val="0"/>
        </w:numPr>
        <w:ind w:left="567" w:right="0" w:hanging="567"/>
        <w:jc w:val="both"/>
        <w:rPr/>
      </w:pPr>
      <w:r>
        <w:rPr/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3"/>
          <w:type w:val="nextPage"/>
          <w:pgSz w:orient="landscape" w:w="16838" w:h="11906"/>
          <w:pgMar w:left="1134" w:right="851" w:header="680" w:top="1134" w:footer="0" w:bottom="992" w:gutter="0"/>
          <w:pgNumType w:fmt="decimal"/>
          <w:formProt w:val="false"/>
          <w:textDirection w:val="lrTb"/>
          <w:docGrid w:type="default" w:linePitch="360" w:charSpace="4294952959"/>
        </w:sect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"/>
        <w:numPr>
          <w:ilvl w:val="1"/>
          <w:numId w:val="2"/>
        </w:numPr>
        <w:spacing w:before="240" w:after="0"/>
        <w:ind w:left="0" w:right="0" w:hanging="0"/>
        <w:jc w:val="both"/>
        <w:rPr/>
      </w:pPr>
      <w:bookmarkStart w:id="5" w:name="_Toc46743509"/>
      <w:bookmarkStart w:id="6" w:name="_Hlk49857604"/>
      <w:bookmarkStart w:id="7" w:name="_Toc137820512"/>
      <w:r>
        <w:rPr/>
        <w:t xml:space="preserve">Информация в отношении исполнения договора, </w:t>
      </w:r>
      <w:bookmarkStart w:id="8" w:name="_Hlk46492347"/>
      <w:r>
        <w:rPr/>
        <w:t xml:space="preserve">которая должна быть учтена при подготовке заявки </w:t>
      </w:r>
      <w:bookmarkEnd w:id="8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</w:t>
      </w:r>
      <w:r>
        <w:rPr>
          <w:lang w:val="ru-RU"/>
        </w:rPr>
        <w:t xml:space="preserve"> </w:t>
      </w:r>
      <w:bookmarkEnd w:id="5"/>
      <w:bookmarkEnd w:id="6"/>
      <w:bookmarkEnd w:id="7"/>
      <w:r>
        <w:rPr/>
        <w:t>этапе исполнения договора)</w:t>
      </w:r>
    </w:p>
    <w:p>
      <w:pPr>
        <w:pStyle w:val="Normal"/>
        <w:widowControl w:val="false"/>
        <w:tabs>
          <w:tab w:val="left" w:pos="426" w:leader="none"/>
        </w:tabs>
        <w:jc w:val="both"/>
        <w:rPr>
          <w:color w:val="000000"/>
          <w:sz w:val="24"/>
          <w:szCs w:val="24"/>
        </w:rPr>
      </w:pPr>
      <w:bookmarkStart w:id="9" w:name="_Hlk48209761"/>
      <w:bookmarkEnd w:id="9"/>
      <w:r>
        <w:rPr>
          <w:color w:val="000000"/>
          <w:sz w:val="24"/>
          <w:szCs w:val="24"/>
        </w:rPr>
        <w:t>Заказчик предоставляет Исполнителю копии имеющихся технических и правоустанавливающих документов на электросетевые объекты, определяет сотрудника, ответственного за предоставление информации.</w:t>
      </w:r>
    </w:p>
    <w:p>
      <w:pPr>
        <w:pStyle w:val="Normal"/>
        <w:tabs>
          <w:tab w:val="left" w:pos="1821" w:leader="none"/>
        </w:tabs>
        <w:jc w:val="both"/>
        <w:rPr>
          <w:lang w:val="x-none" w:eastAsia="x-none"/>
        </w:rPr>
      </w:pPr>
      <w:bookmarkStart w:id="10" w:name="_Hlk482097611"/>
      <w:bookmarkStart w:id="11" w:name="_Toc50125126"/>
      <w:bookmarkStart w:id="12" w:name="_Hlk482097611"/>
      <w:bookmarkStart w:id="13" w:name="_Toc50125126"/>
      <w:bookmarkEnd w:id="12"/>
      <w:bookmarkEnd w:id="13"/>
      <w:r>
        <w:rPr>
          <w:lang w:val="x-none" w:eastAsia="x-none"/>
        </w:rPr>
      </w:r>
    </w:p>
    <w:p>
      <w:pPr>
        <w:pStyle w:val="1"/>
        <w:numPr>
          <w:ilvl w:val="0"/>
          <w:numId w:val="2"/>
        </w:numPr>
        <w:tabs>
          <w:tab w:val="left" w:pos="284" w:leader="none"/>
        </w:tabs>
        <w:ind w:left="0" w:right="0" w:hanging="0"/>
        <w:jc w:val="both"/>
        <w:rPr/>
      </w:pPr>
      <w:bookmarkStart w:id="14" w:name="_Toc137820513"/>
      <w:bookmarkStart w:id="15" w:name="_Toc51339693"/>
      <w:bookmarkEnd w:id="14"/>
      <w:bookmarkEnd w:id="15"/>
      <w:r>
        <w:rPr/>
        <w:t>Требования к продукции</w:t>
      </w:r>
    </w:p>
    <w:p>
      <w:pPr>
        <w:pStyle w:val="4"/>
        <w:numPr>
          <w:ilvl w:val="1"/>
          <w:numId w:val="2"/>
        </w:numPr>
        <w:ind w:left="432" w:right="0" w:hanging="432"/>
        <w:jc w:val="both"/>
        <w:rPr/>
      </w:pPr>
      <w:bookmarkStart w:id="16" w:name="_Toc137820514"/>
      <w:r>
        <w:rPr/>
        <w:t xml:space="preserve">Требования к объемам и срокам </w:t>
      </w:r>
      <w:bookmarkEnd w:id="16"/>
      <w:r>
        <w:rPr>
          <w:lang w:val="ru-RU"/>
        </w:rPr>
        <w:t>выполнения работ</w:t>
      </w:r>
    </w:p>
    <w:p>
      <w:pPr>
        <w:pStyle w:val="3"/>
        <w:numPr>
          <w:ilvl w:val="2"/>
          <w:numId w:val="2"/>
        </w:numPr>
        <w:ind w:left="567" w:right="0" w:hanging="567"/>
        <w:jc w:val="both"/>
        <w:rPr/>
      </w:pPr>
      <w:bookmarkStart w:id="17" w:name="_Toc137820515"/>
      <w:bookmarkEnd w:id="17"/>
      <w:r>
        <w:rPr/>
        <w:t>Требования к видам и объемам работ</w:t>
      </w:r>
    </w:p>
    <w:p>
      <w:pPr>
        <w:pStyle w:val="1"/>
        <w:numPr>
          <w:ilvl w:val="0"/>
          <w:numId w:val="0"/>
        </w:numPr>
        <w:ind w:left="567" w:right="0" w:hanging="567"/>
        <w:jc w:val="both"/>
        <w:rPr/>
      </w:pPr>
      <w:bookmarkStart w:id="18" w:name="_Toc51339695"/>
      <w:bookmarkStart w:id="19" w:name="_Toc137820516"/>
      <w:r>
        <w:rPr>
          <w:sz w:val="24"/>
        </w:rPr>
        <w:t xml:space="preserve">Таблица 2. Перечень </w:t>
      </w:r>
      <w:bookmarkEnd w:id="18"/>
      <w:bookmarkEnd w:id="19"/>
      <w:r>
        <w:rPr>
          <w:sz w:val="24"/>
        </w:rPr>
        <w:t>и объем выполняемых работ</w:t>
      </w:r>
    </w:p>
    <w:tbl>
      <w:tblPr>
        <w:tblW w:w="10161" w:type="dxa"/>
        <w:jc w:val="lef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554"/>
        <w:gridCol w:w="6815"/>
        <w:gridCol w:w="722"/>
        <w:gridCol w:w="2070"/>
      </w:tblGrid>
      <w:tr>
        <w:trPr/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3" w:type="dxa"/>
              <w:right w:w="28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overflowPunct w:val="false"/>
              <w:ind w:left="360" w:right="0" w:hanging="360"/>
              <w:jc w:val="both"/>
              <w:rPr/>
            </w:pPr>
            <w:r>
              <w:rPr/>
            </w: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Проведение исполнителем полевых, геодезических и картографических работ.</w:t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Определение координат характерных точек границ земельного участка, местоположение границ публичного сервитута и охранных зон под электросетевыми объектами, определение координат характерных точек сооружения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Выполнение геодезических измерений объектов производится  по каждой опоре и площадному объекту с выездом на местность и использованием геодезических GPS/GNNS приемников.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3" w:type="dxa"/>
              <w:right w:w="2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26</w:t>
            </w:r>
          </w:p>
        </w:tc>
      </w:tr>
      <w:tr>
        <w:trPr>
          <w:trHeight w:val="1026" w:hRule="atLeast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overflowPunct w:val="false"/>
              <w:ind w:left="360" w:right="0" w:hanging="360"/>
              <w:jc w:val="both"/>
              <w:rPr/>
            </w:pPr>
            <w:r>
              <w:rPr/>
            </w: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Подготовка графического описания местоположения границ публичного сервитута, в т.ч. схемы расположения границ публичного сервитута и описания границ публичного сервитута, содержащего координаты характерных точек границ публичного сервитута, в эл. виде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3" w:type="dxa"/>
              <w:right w:w="2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</w:tr>
      <w:tr>
        <w:trPr>
          <w:trHeight w:val="2234" w:hRule="atLeast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overflowPunct w:val="false"/>
              <w:ind w:left="360" w:right="0" w:hanging="360"/>
              <w:jc w:val="both"/>
              <w:rPr/>
            </w:pPr>
            <w:r>
              <w:rPr/>
            </w: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Подготовка карты (плана) публичного сервитута - подготовленные в электронной форме текстовое и графическое описания местоположения границ, перечень координат характерных точек границ (в виде электронного документа в формате XML, подписанного усиленной квалифицированной электронной подписью подготовившего их лица), с направлением в адрес соответствующих организаций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3" w:type="dxa"/>
              <w:right w:w="2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1</w:t>
            </w:r>
          </w:p>
        </w:tc>
      </w:tr>
      <w:tr>
        <w:trPr>
          <w:trHeight w:val="2110" w:hRule="atLeast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overflowPunct w:val="false"/>
              <w:ind w:left="360" w:right="0" w:hanging="360"/>
              <w:jc w:val="both"/>
              <w:rPr/>
            </w:pPr>
            <w:r>
              <w:rPr/>
            </w: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Подготовка карты (плана) охранной зоны - подготовленные в электронной форме текстовое и графическое описания местоположения границ охранной зоны, перечень координат характерных точек границ таких зон (в виде электронного документа в формате XML, подписанного усиленной квалифицированной электронной подписью подготовившего их лица)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3" w:type="dxa"/>
              <w:right w:w="2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19</w:t>
            </w:r>
          </w:p>
        </w:tc>
      </w:tr>
      <w:tr>
        <w:trPr>
          <w:trHeight w:val="1124" w:hRule="atLeast"/>
        </w:trPr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overflowPunct w:val="false"/>
              <w:ind w:left="360" w:right="0" w:hanging="360"/>
              <w:jc w:val="both"/>
              <w:rPr/>
            </w:pPr>
            <w:r>
              <w:rPr/>
            </w:r>
          </w:p>
        </w:tc>
        <w:tc>
          <w:tcPr>
            <w:tcW w:w="6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tabs>
                <w:tab w:val="left" w:pos="0" w:leader="none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eastAsia="Times New Roman" w:cs="Times New Roman"/>
                <w:i/>
                <w:i/>
                <w:i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A"/>
                <w:sz w:val="24"/>
                <w:szCs w:val="24"/>
                <w:lang w:val="ru-RU" w:eastAsia="ru-RU" w:bidi="ar-SA"/>
              </w:rPr>
              <w:t>Подготовка технических планов на объекты капитального строительства на электронном носителе, для последующего предоставления в орган кадастрового учета и постановки объекта на кадастровый учет, судебный орган, либо уточнения местоположения границ объекта.</w:t>
            </w: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3" w:type="dxa"/>
              <w:right w:w="2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5</w:t>
            </w:r>
            <w:r>
              <w:rPr>
                <w:i/>
                <w:sz w:val="24"/>
                <w:szCs w:val="24"/>
                <w:highlight w:val="white"/>
              </w:rPr>
              <w:t xml:space="preserve"> </w:t>
            </w:r>
          </w:p>
        </w:tc>
      </w:tr>
    </w:tbl>
    <w:p>
      <w:pPr>
        <w:pStyle w:val="1"/>
        <w:numPr>
          <w:ilvl w:val="0"/>
          <w:numId w:val="0"/>
        </w:numPr>
        <w:ind w:left="567" w:right="0" w:hanging="567"/>
        <w:jc w:val="both"/>
        <w:rPr/>
      </w:pPr>
      <w:r>
        <w:rPr/>
      </w:r>
    </w:p>
    <w:p>
      <w:pPr>
        <w:pStyle w:val="3"/>
        <w:numPr>
          <w:ilvl w:val="2"/>
          <w:numId w:val="2"/>
        </w:numPr>
        <w:ind w:left="567" w:right="0" w:hanging="567"/>
        <w:jc w:val="both"/>
        <w:rPr/>
      </w:pPr>
      <w:bookmarkStart w:id="20" w:name="_Toc51339696"/>
      <w:bookmarkStart w:id="21" w:name="_Toc137820517"/>
      <w:r>
        <w:rPr/>
        <w:t xml:space="preserve">Требования </w:t>
      </w:r>
      <w:bookmarkEnd w:id="20"/>
      <w:bookmarkEnd w:id="21"/>
      <w:r>
        <w:rPr/>
        <w:t>к срокам выполнения работ</w:t>
      </w:r>
    </w:p>
    <w:p>
      <w:pPr>
        <w:pStyle w:val="1"/>
        <w:numPr>
          <w:ilvl w:val="0"/>
          <w:numId w:val="0"/>
        </w:numPr>
        <w:ind w:left="567" w:right="0" w:hanging="567"/>
        <w:jc w:val="both"/>
        <w:rPr/>
      </w:pPr>
      <w:bookmarkStart w:id="22" w:name="_Toc50125127"/>
      <w:bookmarkStart w:id="23" w:name="_Toc51339697"/>
      <w:bookmarkStart w:id="24" w:name="_Toc137820518"/>
      <w:bookmarkStart w:id="25" w:name="_Toc501251261"/>
      <w:bookmarkEnd w:id="25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26" w:name="_Hlk50465284"/>
      <w:r>
        <w:rPr/>
        <w:t xml:space="preserve">Требования по срокам </w:t>
      </w:r>
      <w:bookmarkEnd w:id="22"/>
      <w:bookmarkEnd w:id="23"/>
      <w:bookmarkEnd w:id="24"/>
      <w:bookmarkEnd w:id="26"/>
      <w:r>
        <w:rPr>
          <w:lang w:val="ru-RU"/>
        </w:rPr>
        <w:t>выполнения работ</w:t>
      </w:r>
    </w:p>
    <w:tbl>
      <w:tblPr>
        <w:tblW w:w="9776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459"/>
        <w:gridCol w:w="4236"/>
        <w:gridCol w:w="2019"/>
        <w:gridCol w:w="1534"/>
        <w:gridCol w:w="1528"/>
      </w:tblGrid>
      <w:tr>
        <w:trPr/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ascii="Liberation Serif" w:hAnsi="Liberation Serif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4"/>
                <w:szCs w:val="24"/>
                <w:lang w:val="ru-RU" w:eastAsia="ru-RU" w:bidi="ar-SA"/>
              </w:rPr>
              <w:t>Перечень объектов заказчика (Таблица 1)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>
          <w:trHeight w:val="284" w:hRule="atLeast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3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3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3" w:type="dxa"/>
              <w:right w:w="28" w:type="dxa"/>
            </w:tcMar>
            <w:vAlign w:val="center"/>
          </w:tcPr>
          <w:p>
            <w:pPr>
              <w:pStyle w:val="Style49"/>
              <w:keepNext w:val="false"/>
              <w:widowControl w:val="false"/>
              <w:spacing w:before="40" w:after="40"/>
              <w:jc w:val="both"/>
              <w:rPr>
                <w:rFonts w:ascii="Liberation Serif" w:hAnsi="Liberation Serif"/>
                <w:b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3" w:type="dxa"/>
              <w:right w:w="28" w:type="dxa"/>
            </w:tcMar>
            <w:vAlign w:val="center"/>
          </w:tcPr>
          <w:p>
            <w:pPr>
              <w:pStyle w:val="Style49"/>
              <w:keepNext w:val="false"/>
              <w:widowControl w:val="false"/>
              <w:spacing w:before="40" w:after="40"/>
              <w:jc w:val="both"/>
              <w:rPr>
                <w:rFonts w:ascii="Liberation Serif" w:hAnsi="Liberation Serif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13" w:type="dxa"/>
              <w:right w:w="28" w:type="dxa"/>
            </w:tcMar>
            <w:vAlign w:val="center"/>
          </w:tcPr>
          <w:p>
            <w:pPr>
              <w:pStyle w:val="Style49"/>
              <w:keepNext w:val="false"/>
              <w:widowControl w:val="false"/>
              <w:spacing w:before="40" w:after="40"/>
              <w:jc w:val="both"/>
              <w:rPr>
                <w:rFonts w:ascii="Liberation Serif" w:hAnsi="Liberation Serif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highlight w:val="white"/>
              </w:rPr>
              <w:t>5</w:t>
            </w:r>
          </w:p>
        </w:tc>
      </w:tr>
      <w:tr>
        <w:trPr>
          <w:trHeight w:val="2567" w:hRule="atLeast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ind w:left="360" w:right="0" w:hanging="360"/>
              <w:jc w:val="both"/>
              <w:rPr>
                <w:rFonts w:ascii="Liberation Serif" w:hAnsi="Liberation Serif"/>
                <w:i/>
                <w:i/>
              </w:rPr>
            </w:pPr>
            <w:r>
              <w:rPr>
                <w:rFonts w:ascii="Liberation Serif" w:hAnsi="Liberation Serif"/>
                <w:i/>
              </w:rPr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  <w:t>Проведение исполнителем полевых, геодезических и картографических работ.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  <w:t>Определение координат характерных точек границ земельного участка, местоположение границ публичного сервитута и охранных зон под электросетевыми объектами, определение координат характерных точек сооружения</w:t>
            </w:r>
          </w:p>
          <w:p>
            <w:pPr>
              <w:pStyle w:val="Normal"/>
              <w:widowControl w:val="false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  <w:t>Выполнение геодезических измерений объектов производится  по каждой опоре и площадному объекту с выездом на местность и использованием геодезических GPS/GNNS приемников.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п/п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1-19, 28-34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15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.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09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.202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6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</w:tr>
      <w:tr>
        <w:trPr>
          <w:trHeight w:val="2567" w:hRule="atLeast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ind w:left="360" w:right="0" w:hanging="360"/>
              <w:jc w:val="both"/>
              <w:rPr>
                <w:rFonts w:ascii="Liberation Serif" w:hAnsi="Liberation Serif"/>
                <w:i/>
                <w:i/>
              </w:rPr>
            </w:pPr>
            <w:r>
              <w:rPr>
                <w:rFonts w:ascii="Liberation Serif" w:hAnsi="Liberation Serif"/>
                <w:i/>
              </w:rPr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Liberation Serif" w:hAnsi="Liberation Serif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i/>
                <w:color w:val="00000A"/>
                <w:sz w:val="24"/>
                <w:szCs w:val="24"/>
                <w:lang w:val="ru-RU" w:eastAsia="ru-RU" w:bidi="ar-SA"/>
              </w:rPr>
              <w:t>Подготовка графического описания местоположения границ публичного сервитута, в т.ч. схемы расположения границ публичного сервитута и описания границ публичного сервитута, содержащего координаты характерных точек границ публичного сервитута, в эл. виде.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п/п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20-30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30.</w:t>
            </w: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10</w:t>
            </w: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.202</w:t>
            </w: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6</w:t>
            </w:r>
          </w:p>
        </w:tc>
      </w:tr>
      <w:tr>
        <w:trPr/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ind w:left="360" w:right="0" w:hanging="360"/>
              <w:jc w:val="both"/>
              <w:rPr>
                <w:rFonts w:ascii="Liberation Serif" w:hAnsi="Liberation Serif"/>
                <w:i/>
                <w:i/>
              </w:rPr>
            </w:pPr>
            <w:r>
              <w:rPr>
                <w:rFonts w:ascii="Liberation Serif" w:hAnsi="Liberation Serif"/>
                <w:i/>
              </w:rPr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  <w:t>Подготовка карты (плана) публичного сервитута - подготовленные в электронной форме текстовое и графическое описания местоположения границ, перечень координат характерных точек границ (в виде электронного документа в формате XML, подписанного усиленной квалифицированной электронной подписью подготовившего их лица), с направлением в адрес соответствующих организаций.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п/п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20-30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30.</w:t>
            </w: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10</w:t>
            </w: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.202</w:t>
            </w: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6</w:t>
            </w:r>
          </w:p>
        </w:tc>
      </w:tr>
      <w:tr>
        <w:trPr/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ind w:left="360" w:right="0" w:hanging="360"/>
              <w:jc w:val="both"/>
              <w:rPr>
                <w:rFonts w:ascii="Liberation Serif" w:hAnsi="Liberation Serif"/>
                <w:i/>
                <w:i/>
              </w:rPr>
            </w:pPr>
            <w:r>
              <w:rPr>
                <w:rFonts w:ascii="Liberation Serif" w:hAnsi="Liberation Serif"/>
                <w:i/>
              </w:rPr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Подготовка карты (плана) охранной зоны - подготовленные в электронной форме текстовое и графическое описания местоположения границ охранной зоны, перечень координат характерных точек границ таких зон (в виде электронного документа в формате XML, подписанного усиленной квалифицированной электронной подписью подготовившего их лица)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z w:val="24"/>
                <w:szCs w:val="24"/>
                <w:highlight w:val="red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red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п/п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2-19, 29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  <w:lang w:val="en-US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30.</w:t>
            </w: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10</w:t>
            </w: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.202</w:t>
            </w: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6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ind w:left="360" w:right="0" w:hanging="360"/>
              <w:jc w:val="both"/>
              <w:rPr>
                <w:rFonts w:ascii="Liberation Serif" w:hAnsi="Liberation Serif"/>
                <w:i/>
                <w:i/>
              </w:rPr>
            </w:pPr>
            <w:r>
              <w:rPr>
                <w:rFonts w:ascii="Liberation Serif" w:hAnsi="Liberation Serif"/>
                <w:i/>
              </w:rPr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Подготовка технических планов на объекты капитального строительства на электронном носителе, для последующего предоставления в орган кадастрового учета и постановки объекта на кадастровый учет, судебный орган в эл. виде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п/п 1,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31-34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30</w:t>
            </w: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.</w:t>
            </w: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10</w:t>
            </w: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.202</w:t>
            </w: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6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  <w:lang w:val="en-US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1134" w:right="851" w:header="680" w:top="1134" w:footer="0" w:bottom="992" w:gutter="0"/>
          <w:pgNumType w:fmt="decimal"/>
          <w:formProt w:val="false"/>
          <w:textDirection w:val="lrTb"/>
          <w:docGrid w:type="default" w:linePitch="360" w:charSpace="4294952959"/>
        </w:sectPr>
      </w:pPr>
    </w:p>
    <w:p>
      <w:pPr>
        <w:pStyle w:val="4"/>
        <w:numPr>
          <w:ilvl w:val="1"/>
          <w:numId w:val="2"/>
        </w:numPr>
        <w:ind w:left="432" w:right="0" w:hanging="432"/>
        <w:jc w:val="both"/>
        <w:rPr/>
      </w:pPr>
      <w:bookmarkStart w:id="27" w:name="_Toc51339698"/>
      <w:bookmarkStart w:id="28" w:name="_Toc137820519"/>
      <w:r>
        <w:rPr/>
        <w:t xml:space="preserve">Требования к </w:t>
      </w:r>
      <w:bookmarkEnd w:id="28"/>
      <w:r>
        <w:rPr>
          <w:lang w:val="ru-RU"/>
        </w:rPr>
        <w:t>качеству работ</w:t>
      </w:r>
    </w:p>
    <w:p>
      <w:pPr>
        <w:pStyle w:val="1"/>
        <w:numPr>
          <w:ilvl w:val="0"/>
          <w:numId w:val="0"/>
        </w:numPr>
        <w:ind w:left="567" w:right="0" w:hanging="567"/>
        <w:jc w:val="both"/>
        <w:rPr/>
      </w:pPr>
      <w:bookmarkStart w:id="29" w:name="_Toc137820520"/>
      <w:r>
        <w:rPr/>
        <w:t>Таблица</w:t>
      </w:r>
      <w:r>
        <w:rPr>
          <w:lang w:val="ru-RU"/>
        </w:rPr>
        <w:t xml:space="preserve"> 4</w:t>
      </w:r>
      <w:r>
        <w:rPr/>
        <w:t xml:space="preserve">. Требования к </w:t>
      </w:r>
      <w:bookmarkEnd w:id="27"/>
      <w:r>
        <w:rPr>
          <w:lang w:val="ru-RU"/>
        </w:rPr>
        <w:t>качеству работ</w:t>
      </w:r>
      <w:bookmarkEnd w:id="29"/>
      <w:r>
        <w:rPr/>
        <w:t xml:space="preserve"> </w:t>
      </w:r>
    </w:p>
    <w:p>
      <w:pPr>
        <w:pStyle w:val="Normal"/>
        <w:snapToGrid w:val="false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работ/этапа работ:</w:t>
      </w:r>
    </w:p>
    <w:p>
      <w:pPr>
        <w:pStyle w:val="Normal"/>
        <w:snapToGrid w:val="false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позиции № 1 и № 2 таблицы 2</w:t>
      </w:r>
    </w:p>
    <w:tbl>
      <w:tblPr>
        <w:tblW w:w="15309" w:type="dxa"/>
        <w:jc w:val="left"/>
        <w:tblInd w:w="-1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" w:type="dxa"/>
          <w:bottom w:w="0" w:type="dxa"/>
          <w:right w:w="28" w:type="dxa"/>
        </w:tblCellMar>
      </w:tblPr>
      <w:tblGrid>
        <w:gridCol w:w="673"/>
        <w:gridCol w:w="2111"/>
        <w:gridCol w:w="10681"/>
        <w:gridCol w:w="1844"/>
      </w:tblGrid>
      <w:tr>
        <w:trPr>
          <w:trHeight w:val="1629" w:hRule="atLeast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Подтверждение участником соответствия в виде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согласия с требованием</w:t>
            </w:r>
          </w:p>
        </w:tc>
      </w:tr>
      <w:tr>
        <w:trPr>
          <w:trHeight w:val="189" w:hRule="atLeast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60" w:after="60"/>
              <w:ind w:left="360" w:right="0" w:hanging="36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993" w:leader="none"/>
              </w:tabs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792" w:right="0" w:hanging="432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993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b/>
                <w:i/>
                <w:i/>
                <w:sz w:val="24"/>
                <w:szCs w:val="24"/>
                <w:highlight w:val="white"/>
              </w:rPr>
            </w:pPr>
            <w:r>
              <w:rPr>
                <w:b/>
                <w:i/>
                <w:sz w:val="24"/>
                <w:szCs w:val="24"/>
                <w:highlight w:val="white"/>
              </w:rPr>
              <w:t>1. Подготовительные работы.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1.1. До начала выполнения работ приказом Подрядной организации назначаются ответственные лица за выполнение работ по геодезическому измерению на местности опор и трансформаторных подстанций, обработку полученных координат, составлению схем, карт (планов), с указанием Ф.И.О., документа, подтверждающего квалификацию, контактных данных (тел., email);</w:t>
            </w:r>
          </w:p>
          <w:p>
            <w:pPr>
              <w:pStyle w:val="Normal"/>
              <w:widowControl w:val="false"/>
              <w:tabs>
                <w:tab w:val="left" w:pos="851" w:leader="none"/>
              </w:tabs>
              <w:spacing w:lineRule="auto" w:line="240"/>
              <w:jc w:val="both"/>
              <w:rPr/>
            </w:pPr>
            <w:r>
              <w:rPr>
                <w:i/>
                <w:color w:val="000000"/>
                <w:sz w:val="24"/>
                <w:szCs w:val="24"/>
                <w:highlight w:val="white"/>
              </w:rPr>
              <w:t xml:space="preserve">1.2. </w:t>
            </w:r>
            <w:r>
              <w:rPr>
                <w:i/>
                <w:sz w:val="24"/>
                <w:szCs w:val="24"/>
                <w:highlight w:val="white"/>
              </w:rPr>
              <w:t>Сбор необходимой документации из Фонда данных Росреестра осуществляется Исполнителем самостоятельно за счет собственных средств.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i/>
                <w:sz w:val="24"/>
                <w:szCs w:val="24"/>
                <w:highlight w:val="white"/>
              </w:rPr>
              <w:t>Подготовительные работы включают в себя сбор и анализ следующих</w:t>
            </w:r>
            <w:r>
              <w:rPr>
                <w:b/>
                <w:bCs/>
                <w:i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i/>
                <w:sz w:val="24"/>
                <w:szCs w:val="24"/>
                <w:highlight w:val="white"/>
              </w:rPr>
              <w:t>необходимых документов и материалов по объектам электросетевого хозяйства: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bCs/>
                <w:i/>
                <w:sz w:val="24"/>
                <w:szCs w:val="24"/>
                <w:highlight w:val="white"/>
              </w:rPr>
              <w:t>сведений Государственного кадастра недвижимости (далее – ГКН) в виде выписок на земельные участки, занятые объектами электросетевого хозяйства АО «ДРСК»;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bCs/>
                <w:i/>
                <w:sz w:val="24"/>
                <w:szCs w:val="24"/>
                <w:highlight w:val="white"/>
              </w:rPr>
              <w:t>сведений ГКН в виде кадастровых планов соответствующих территорий;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bCs/>
                <w:i/>
                <w:sz w:val="24"/>
                <w:szCs w:val="24"/>
                <w:highlight w:val="white"/>
              </w:rPr>
              <w:t>сведений ГКН в виде выписок из ЕГРН на прочие земельные участки в границах охранных зон;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bCs/>
                <w:i/>
                <w:sz w:val="24"/>
                <w:szCs w:val="24"/>
                <w:highlight w:val="white"/>
              </w:rPr>
              <w:t>сведений ГКН в виде выписок из ЕГРН на объекты недвижимого имущества;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bCs/>
                <w:i/>
                <w:sz w:val="24"/>
                <w:szCs w:val="24"/>
                <w:highlight w:val="white"/>
              </w:rPr>
              <w:t>сведений о границах муниципальных образований (район);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i/>
                <w:sz w:val="24"/>
                <w:szCs w:val="24"/>
                <w:highlight w:val="white"/>
              </w:rPr>
              <w:t>технической документации на объекты недвижимого имущества;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i/>
                <w:sz w:val="24"/>
                <w:szCs w:val="24"/>
                <w:highlight w:val="white"/>
              </w:rPr>
              <w:t>картографических материалов, требуемых масштабов, в территориальных органах Росреестра и других организациях по месту нахождения объектов недвижимости;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i/>
                <w:sz w:val="24"/>
                <w:szCs w:val="24"/>
                <w:highlight w:val="white"/>
              </w:rPr>
              <w:t>правоустанавливающих документов на объекты электросетевого хозяйства;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i/>
                <w:sz w:val="24"/>
                <w:szCs w:val="24"/>
                <w:highlight w:val="white"/>
              </w:rPr>
              <w:t>копий учредительных документов АО «ДРСК»;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b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b/>
                <w:bCs/>
                <w:i/>
                <w:sz w:val="24"/>
                <w:szCs w:val="24"/>
                <w:highlight w:val="white"/>
              </w:rPr>
              <w:t>2.  Полевые, геодезические и картографические работы.  Определение границ местоположения земельных участков и объектов недвижимости.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2.1. Исполнителем проводятся полевые, геодезические и картографические работы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Определение координат по каждой опоре  и площадному объекту осуществляется в Соответствии с приказом Федеральной службы государственной регистрации, кадастра и картографии от 23.10.2020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машино-места».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2.2. Геодезическое измерение проводится по каждой опоре и площадному объекту с выездом на местность с представителем Заказчика и использованием геодезических GPS/GNNS приемников.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b/>
                <w:i/>
                <w:i/>
                <w:sz w:val="24"/>
                <w:szCs w:val="24"/>
                <w:highlight w:val="white"/>
              </w:rPr>
            </w:pPr>
            <w:r>
              <w:rPr>
                <w:b/>
                <w:i/>
                <w:sz w:val="24"/>
                <w:szCs w:val="24"/>
                <w:highlight w:val="white"/>
              </w:rPr>
              <w:t>3. Установление публичных сервитутов под электросетевыми объектами.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i/>
                <w:sz w:val="24"/>
                <w:szCs w:val="24"/>
                <w:highlight w:val="white"/>
              </w:rPr>
              <w:t xml:space="preserve">3.1. </w:t>
            </w:r>
            <w:r>
              <w:rPr>
                <w:bCs/>
                <w:i/>
                <w:sz w:val="24"/>
                <w:szCs w:val="24"/>
                <w:highlight w:val="white"/>
              </w:rPr>
              <w:t>Составление графического описания местоположения границ публичного сервитута на основа-нии полученных сведений КПТ, определение местоположения границ публичного сервитута в соответствии с законодательством Российской Федерации, составление схемы расположения границ публичного сервитута, описания границ публичного сервитута, содержащего координаты характерных точек границ публичного сервитута на основании Приказа Росреестра от 13.01.2021 N П/0004 «Об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сведения».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Cs/>
                <w:i/>
                <w:sz w:val="24"/>
                <w:szCs w:val="24"/>
                <w:highlight w:val="white"/>
              </w:rPr>
              <w:t>3.1.1</w:t>
            </w:r>
            <w:r>
              <w:rPr>
                <w:i/>
                <w:sz w:val="24"/>
                <w:szCs w:val="24"/>
                <w:highlight w:val="white"/>
              </w:rPr>
              <w:t xml:space="preserve"> Схема расположения формируется в виде файла в формате PDF в полноцветном режиме с разрешением не менее 300 dpi в масштабе, обеспечивающем читаемость местоположения характерных точек.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Схема расположения оформляется в виде, совмещенном с картографической основой.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На схеме расположения указываются: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проектные границы публичного сервитута и характерные точки;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установленные границы административно-территориальных образований (в случае если границы публичного сервитута пересекают границы административно-территориальных образований);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проектное местоположение инженерного сооружения (в случае если публичный сервитут устанавливается для использования земельных участков и (или) земель в целях размещения инженерного сооружения);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границы и кадастровые номера земельных участков (при их наличии), в отношении которых испрашивается публичный сервитут;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используемые условные знаки и обозначения;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масштаб.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i/>
                <w:sz w:val="24"/>
                <w:szCs w:val="24"/>
                <w:highlight w:val="white"/>
              </w:rPr>
              <w:t>При невозможности отображения в масштабе схемы расположения отдельных характерных точек допускается отображать их местоположение в виде выносок в отдельных файлах при условии соблюдения настоящих требований.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3.1.2 Описание границ формируется в виде файла в формате XML, созданного с использованием XML-схем, обеспечивающих считывание и контроль представленных данных.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В описании границ должны быть указаны: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а) местоположение публичного сервитута (субъект Российской Федерации, муниципальное образование, а также населенный пункт (в случае установления публичного сервитута в границах населенного пункта);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б) система координат, используемая для ведения Единого государственного реестра недвижимости, с указанием зоны (зон) картографической проекции, в которой определены координаты характерных точек;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в) метод(ы) определения координат и средняя квадратическая погрешность положения характерных точек (Mt) в метрах;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г) перечень характерных точек (обозначение и значения координат характерных точек в метрах с округлением до 0,01 метра).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В зависимости от примененных при подготовке описания границ методов определения координат характерных точек в описании границ указываются: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геодезический метод;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метод спутниковых геодезических измерений (определений);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фотограмметрический метод;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картометрический метод;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аналитический метод.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Для обозначения характерных точек используются арабские цифры. Для всех характерных точек применяется сквозная нумерация. Перечень характерных точек должен завершаться обозначением начальной точки.</w:t>
            </w:r>
          </w:p>
          <w:p>
            <w:pPr>
              <w:pStyle w:val="Normal"/>
              <w:widowControl w:val="false"/>
              <w:tabs>
                <w:tab w:val="left" w:pos="426" w:leader="none"/>
                <w:tab w:val="left" w:pos="735" w:leader="none"/>
                <w:tab w:val="left" w:pos="993" w:leader="none"/>
              </w:tabs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Координаты характерных точек определяются с точностью не ниже точности картографической основы Единого государственного реестра недвижимости наиболее крупного масштаба, созданной на территорию кадастрового квартала, в котором расположен публичный сервитут.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b/>
                <w:i/>
                <w:i/>
                <w:sz w:val="24"/>
                <w:szCs w:val="24"/>
                <w:highlight w:val="white"/>
              </w:rPr>
            </w:pPr>
            <w:r>
              <w:rPr>
                <w:b/>
                <w:i/>
                <w:sz w:val="24"/>
                <w:szCs w:val="24"/>
                <w:highlight w:val="white"/>
              </w:rPr>
              <w:t>4. Подготовка и составление Карт (планов) границ охранных зон.</w:t>
            </w:r>
          </w:p>
          <w:p>
            <w:pPr>
              <w:pStyle w:val="Normal"/>
              <w:widowControl w:val="false"/>
              <w:spacing w:lineRule="auto" w:line="240"/>
              <w:ind w:left="0" w:right="0" w:firstLine="540"/>
              <w:jc w:val="both"/>
              <w:rPr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  <w:t>Охранные зоны устанавливаются вдоль воздушных линий электропередачи -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неотклоненном их положении на следующем расстоянии:</w:t>
            </w:r>
          </w:p>
          <w:p>
            <w:pPr>
              <w:pStyle w:val="Normal"/>
              <w:widowControl w:val="false"/>
              <w:spacing w:lineRule="auto" w:line="240"/>
              <w:ind w:left="0" w:right="0" w:firstLine="540"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</w:r>
          </w:p>
          <w:tbl>
            <w:tblPr>
              <w:tblW w:w="9903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insideH w:val="single" w:sz="4" w:space="0" w:color="000001"/>
              </w:tblBorders>
              <w:tblCellMar>
                <w:top w:w="102" w:type="dxa"/>
                <w:left w:w="37" w:type="dxa"/>
                <w:bottom w:w="102" w:type="dxa"/>
                <w:right w:w="62" w:type="dxa"/>
              </w:tblCellMar>
            </w:tblPr>
            <w:tblGrid>
              <w:gridCol w:w="4737"/>
              <w:gridCol w:w="5166"/>
            </w:tblGrid>
            <w:tr>
              <w:trPr/>
              <w:tc>
                <w:tcPr>
                  <w:tcW w:w="473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FFFFFF" w:val="clear"/>
                  <w:tcMar>
                    <w:left w:w="3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i/>
                      <w:i/>
                      <w:iCs/>
                      <w:sz w:val="20"/>
                      <w:szCs w:val="20"/>
                      <w:highlight w:val="white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Проектный номинальный класс напряжения, кВ</w:t>
                  </w:r>
                </w:p>
              </w:tc>
              <w:tc>
                <w:tcPr>
                  <w:tcW w:w="516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3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i/>
                      <w:i/>
                      <w:iCs/>
                      <w:sz w:val="20"/>
                      <w:szCs w:val="20"/>
                      <w:highlight w:val="white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Расстояние, м</w:t>
                  </w:r>
                </w:p>
              </w:tc>
            </w:tr>
            <w:tr>
              <w:trPr/>
              <w:tc>
                <w:tcPr>
                  <w:tcW w:w="473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FFFFFF" w:val="clear"/>
                  <w:tcMar>
                    <w:left w:w="3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i/>
                      <w:i/>
                      <w:iCs/>
                      <w:sz w:val="20"/>
                      <w:szCs w:val="20"/>
                      <w:highlight w:val="white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1 - 20</w:t>
                  </w:r>
                </w:p>
              </w:tc>
              <w:tc>
                <w:tcPr>
                  <w:tcW w:w="516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3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/>
                  </w:pPr>
                  <w:r>
                    <w:rPr>
                      <w:b w:val="false"/>
                      <w:bCs w:val="false"/>
                      <w:i/>
                      <w:iCs/>
                      <w:sz w:val="20"/>
                      <w:szCs w:val="20"/>
                      <w:highlight w:val="white"/>
                    </w:rPr>
                    <w:t xml:space="preserve">10 (5 - </w:t>
                  </w: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для линий с самонесущими или изолированными проводами, размещенных в границах населенных пунктов)</w:t>
                  </w:r>
                </w:p>
              </w:tc>
            </w:tr>
            <w:tr>
              <w:trPr/>
              <w:tc>
                <w:tcPr>
                  <w:tcW w:w="473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FFFFFF" w:val="clear"/>
                  <w:tcMar>
                    <w:left w:w="3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i/>
                      <w:i/>
                      <w:iCs/>
                      <w:sz w:val="20"/>
                      <w:szCs w:val="20"/>
                      <w:highlight w:val="white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35</w:t>
                  </w:r>
                </w:p>
              </w:tc>
              <w:tc>
                <w:tcPr>
                  <w:tcW w:w="516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3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i/>
                      <w:i/>
                      <w:iCs/>
                      <w:sz w:val="20"/>
                      <w:szCs w:val="20"/>
                      <w:highlight w:val="white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15</w:t>
                  </w:r>
                </w:p>
              </w:tc>
            </w:tr>
            <w:tr>
              <w:trPr/>
              <w:tc>
                <w:tcPr>
                  <w:tcW w:w="473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FFFFFF" w:val="clear"/>
                  <w:tcMar>
                    <w:left w:w="3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i/>
                      <w:i/>
                      <w:iCs/>
                      <w:sz w:val="20"/>
                      <w:szCs w:val="20"/>
                      <w:highlight w:val="white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110</w:t>
                  </w:r>
                </w:p>
              </w:tc>
              <w:tc>
                <w:tcPr>
                  <w:tcW w:w="516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3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i/>
                      <w:i/>
                      <w:iCs/>
                      <w:sz w:val="20"/>
                      <w:szCs w:val="20"/>
                      <w:highlight w:val="white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20</w:t>
                  </w:r>
                </w:p>
              </w:tc>
            </w:tr>
          </w:tbl>
          <w:p>
            <w:pPr>
              <w:pStyle w:val="Style191"/>
              <w:widowControl w:val="false"/>
              <w:tabs>
                <w:tab w:val="left" w:pos="302" w:leader="none"/>
              </w:tabs>
              <w:spacing w:lineRule="auto" w:line="240"/>
              <w:ind w:left="0" w:right="0" w:firstLine="709"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i/>
                <w:iCs/>
                <w:sz w:val="24"/>
                <w:szCs w:val="24"/>
                <w:highlight w:val="white"/>
              </w:rPr>
              <w:t>4.1.</w:t>
            </w:r>
            <w:r>
              <w:rPr>
                <w:b/>
                <w:i/>
                <w:i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highlight w:val="white"/>
              </w:rPr>
              <w:t>Проводится работа по описанию местоположения границ охранных зон объек</w:t>
            </w:r>
            <w:r>
              <w:rPr>
                <w:bCs/>
                <w:i/>
                <w:sz w:val="24"/>
                <w:szCs w:val="24"/>
                <w:highlight w:val="white"/>
              </w:rPr>
              <w:t>тов электросетевого хозяйства АО «ДРСК» для составления карт (планов) объектов землеустройства для их учёта в ГКН. Форма карты (плана) объекта землеустройства и требования к ее составлению устанавливаются Правительством Российской Федерации и Заказчиком.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4.2. Карта (план) объекта землеустройства состоит из текстовой и графической частей, которые делятся на разделы.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Текстовая часть карты (плана) объекта землеустройства состоит из титульного листа, содержания и следующих разделов: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основания для проведения землеустроительных работ и исходные данные;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сведения об объекте землеустройства;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сведения о местоположении границ объекта землеустройства.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сведения об объектах недвижимости и земельных участках, входящих в границы - охранных зон на момент проведения кадастровых работ.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Графическая часть карты (плана) состоит из раздела «План границ объекта землеустройства».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карта (план) объекта землеустройства оформляется на бумажном носителе и электронном носителе, исключающем возможность повторной записи информации, в виде электронного документа.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карта (план) объекта землеустройства подлежит согласованию с федеральным органом исполнительной власти, осуществляющим технический контроль и надзор в электроэнергетике в порядке, предусмотренном Правилами, а также с иными заинтересованными лицами, в порядке, предусмотренном для согласования землеустроительной документации – при необходимости.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порядок согласования и утверждения землеустроительной документации устанавливается уполномоченным Правительством Российской Федерации федеральным органом исполнительной власти.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i/>
                <w:sz w:val="24"/>
                <w:szCs w:val="24"/>
                <w:highlight w:val="white"/>
              </w:rPr>
              <w:t>- вплоть до принятия уполномоченным федеральным органом исполнительной власти порядка согласования и утверждения землеустроительной документации при согласовании карт (планов) объектов землеустройства Исполнитель руководствуется нормами Положения о согласовании и утверждении землеустроительной документации, создании и ведении государственного фонда данных, полученных в результате проведения землеустройства, в части не противоречащей действующему законодательству.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>5.</w:t>
            </w:r>
            <w:r>
              <w:rPr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i/>
                <w:sz w:val="24"/>
                <w:szCs w:val="24"/>
                <w:highlight w:val="white"/>
              </w:rPr>
              <w:t>Согласование границ охранных зон объектов электросетевого хозяйства с Ростехнадзором (при необходимости).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В соответствии с письмом Министерства экономического развития Российской Федерации от 09.06.2011 № 11882-ИМ/Д23 при внесении в ГКН сведений о границах охранных зон объектов электросетевого хозяйства, созданных до вступления в силу Правил (до 17.03.2009) такие сведения должны вноситься в ГКН на основании постановлений Совета Министров СССР от 11.09.1972 № 677 «Об утверждении правил охраны электрических сетей напряжением до 1000 вольт» или от 26.03.1984 № 255 «Об утверждении правил охраны электрических сетей напряжением свыше 1000 вольт» без согласования с Ростехнадзором.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Согласование с Ростехнадзором границ охранных зон объектов электросетевого хозяйства осуществляется в случае установления охранных зон объектов электросетевого хозяйства, созданных после вступления в силу Правил (после 17.03.2009). Подготовка и согласование в соответствии с Порядком согласования Федеральной службой по экологическому, технологическому и атомному надзору границ охранных зон в отношении объектов электросетевого хозяйства, утвержденным приказом Минприроды России от 24.05.2010 № 179 комплекта документов, необходимых для согласования границ охранных зон объектов электросетевого хозяйства.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Формирование документов, необходимых для согласования границ охранных зон объектов электросетевого хозяйства Ростехназором.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Представление в территориальные органы Ростехнадзора документов для согласования границ охранных зон объектов электросетевого хозяйства и получение согласований Ростехнадзором границ охранных зон объектов электросетевого хозяйства.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b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b/>
                <w:bCs/>
                <w:i/>
                <w:sz w:val="24"/>
                <w:szCs w:val="24"/>
                <w:highlight w:val="white"/>
              </w:rPr>
              <w:t>6. Подготовка технического плана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6.1. При выполнении работ с Заказчиком согласовываются: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- состав объекта, подлежащего технической инвентаризации;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- технические характеристики объекта.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6.2. Технический план должен быть составлен по форме и соответствовать требованиям, установленным действующим законодательством РФ (Приказ Росреестра от 15.03.2022 N П/0082 «Об установлении формы технического плана, требований к его подготовке и состава содержащихся в нем сведений», Приказ Росреестра от 06.09.2023 N П/0347 "О размещении 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используемой для формирования технического плана здания, сооружения, объекта незавершенного строительства, помещения, машино-места, единого недвижимого комплекса в форме электронного документа" или иные документы, действующие на момент выполнения работ Исполнителем).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6.3. Технический план подготавливается в форме электронного документа и заверяется усиленной квалифицированной электронной подписью кадастрового инженера, подготовившего такой план.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b/>
                <w:bCs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b/>
                <w:bCs/>
                <w:i/>
                <w:iCs/>
                <w:sz w:val="24"/>
                <w:szCs w:val="24"/>
                <w:highlight w:val="white"/>
              </w:rPr>
              <w:t>7. Подготовка актов обследования на объекты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7.1. Акт обследования должен быть составлен по форме и соответствовать требованиям, установленным действующим законодательством РФ (Приказ Росреестра от 24.05.2021 N П/0217 "Об установлении формы и состава сведений акта обследования, а также требований к его подготовке" (Зарегистрировано в Минюсте России 09.09.2021 N 64961)).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7.2. Акт обследования подготавливается в форме электронного документа в виде XML-документа, заверенного усиленной квалифицированной электронной подписью кадастрового инженера, подготовившего такой Акт.</w:t>
            </w:r>
          </w:p>
          <w:p>
            <w:pPr>
              <w:pStyle w:val="Normal"/>
              <w:widowControl w:val="false"/>
              <w:tabs>
                <w:tab w:val="left" w:pos="993" w:leader="none"/>
              </w:tabs>
              <w:spacing w:lineRule="auto" w:line="240"/>
              <w:jc w:val="both"/>
              <w:rPr>
                <w:b/>
                <w:b/>
                <w:i/>
                <w:i/>
                <w:sz w:val="24"/>
                <w:szCs w:val="24"/>
                <w:highlight w:val="white"/>
              </w:rPr>
            </w:pPr>
            <w:r>
              <w:rPr>
                <w:b/>
                <w:i/>
                <w:sz w:val="24"/>
                <w:szCs w:val="24"/>
                <w:highlight w:val="white"/>
              </w:rPr>
              <w:t>8. Порядок взаимодействия Заказчика и Исполнителя при выполнении работ</w:t>
            </w:r>
          </w:p>
          <w:p>
            <w:pPr>
              <w:pStyle w:val="Normal"/>
              <w:widowControl w:val="false"/>
              <w:tabs>
                <w:tab w:val="left" w:pos="993" w:leader="none"/>
              </w:tabs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8.1. Исполнитель работ в соответствии с полномочиями, основанными на нотариально удостоверенной доверенности от лица АО «ДРСК», обращается в орган Исполнительной власти с ходатайством на установление публичного сервитута, в орган кадастрового и регистрационного учёта с заявлением о внесении сведений о границах охранной зоны, сведений об объекте недвижимости  в государственный кадастр недвижимости;</w:t>
            </w:r>
          </w:p>
          <w:p>
            <w:pPr>
              <w:pStyle w:val="Normal"/>
              <w:widowControl w:val="false"/>
              <w:tabs>
                <w:tab w:val="left" w:pos="993" w:leader="none"/>
              </w:tabs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8.2. Исполнитель работ осуществляет контроль и сопровождение по ходатайствам на установление публичного сервитута, за  ведением государственного кадастрового учёта публичных сервитутов, охранных зон и объектов недвижимости, анализа причин приостановления или отказов в проведении государственного кадастрового учёта, устраняет ошибки, возобновляет проведение учёта в ГКН;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/>
                <w:b w:val="false"/>
                <w:b w:val="false"/>
                <w:bCs w:val="false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8.3. В целях обеспечения оперативного контроля выполнения работ Исполнитель направляет Заказчику информацию о ходе выполнения работ. Заказчик определяет порядок представления Заказчику и форму мониторинга выполнения работ.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792" w:right="0" w:hanging="432"/>
              <w:contextualSpacing/>
              <w:jc w:val="both"/>
              <w:rPr/>
            </w:pPr>
            <w:r>
              <w:rPr/>
            </w:r>
          </w:p>
        </w:tc>
        <w:tc>
          <w:tcPr>
            <w:tcW w:w="1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b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19" w:hRule="atLeast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before="60" w:after="60"/>
              <w:ind w:left="1224" w:right="0" w:hanging="1199"/>
              <w:contextualSpacing/>
              <w:jc w:val="both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технические требования к оборудованию Исполнителя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В соответствии с требованиями, предусмотренными законодательством Российской Федерации по выполнению кадастровых работ.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60" w:after="60"/>
              <w:ind w:left="360" w:right="0" w:hanging="360"/>
              <w:contextualSpacing/>
              <w:jc w:val="both"/>
              <w:rPr/>
            </w:pPr>
            <w:r>
              <w:rPr/>
            </w:r>
          </w:p>
        </w:tc>
        <w:tc>
          <w:tcPr>
            <w:tcW w:w="1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Требования к результатам работ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-117" w:right="0" w:firstLine="142"/>
              <w:contextualSpacing/>
              <w:jc w:val="both"/>
              <w:rPr/>
            </w:pPr>
            <w:r>
              <w:rPr/>
            </w:r>
          </w:p>
        </w:tc>
        <w:tc>
          <w:tcPr>
            <w:tcW w:w="1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b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Общие требования к результатам работ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before="60" w:after="60"/>
              <w:ind w:left="1224" w:right="0" w:hanging="1199"/>
              <w:contextualSpacing/>
              <w:jc w:val="both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работ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Результат работ:</w:t>
            </w:r>
          </w:p>
          <w:p>
            <w:pPr>
              <w:pStyle w:val="Normal"/>
              <w:widowControl w:val="false"/>
              <w:tabs>
                <w:tab w:val="left" w:pos="426" w:leader="none"/>
              </w:tabs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графическое описание местоположения границ публичных сервитутов под объектами в соответствии с перечнем (таблица 1), в т.ч. схемы расположения границ публичного сервитута и описания границ публичного сервитута, содержащего координаты характерных точек границ публичного сервитута, в эл. виде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карты (планы) охранных зон объектов в соответствии с перечнем (таблица 1) - подготовленные в электронной форме текстовое и графическое описания местоположения границ охранной зоны, перечень координат характерных точек границ таких зон (в виде электронного документа в формате XML, подписанного усиленной квалифицированной электронной подписью подготовившего их лица).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решения (уведомления) органа кадастрового учёта о внесении сведений границ охранных зон объектов электросетевого хозяйства АО «ДРСК» в ГКН с указанием кадастровых номеров границ охранных зон (на бумажном носителе);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выписки из ЕГРН о сведениях об охранной зоне (на бумажном и/или электронном носителе);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решения/постановления органов Исполнительной власти об установлении публичных сервитутов (в электронном и бумажном виде);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технические планы на ОКС (в виде электронного документа в формате XML, подписанного усиленной квалифицированной электронной подписью подготовившего их лица);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i/>
                <w:sz w:val="24"/>
                <w:szCs w:val="24"/>
                <w:highlight w:val="white"/>
              </w:rPr>
              <w:t xml:space="preserve">-  </w:t>
            </w:r>
            <w:r>
              <w:rPr>
                <w:i/>
                <w:iCs/>
                <w:sz w:val="24"/>
                <w:szCs w:val="24"/>
                <w:highlight w:val="white"/>
              </w:rPr>
              <w:t>акт обследования на объекты капитального строительства на электронном носителе;</w:t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i/>
                <w:i/>
                <w:iCs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- cчёт и акт выполненных работ в двух экземплярах с указанием выполненных работ.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Исполнитель обеспечивает выполнение работ в срок, в соответствии с проектом договора, в рамках данных технических требований с соблюдением действующего законодательства, регламентирующего деятельность в области выполнения кадастровых работ.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60" w:after="60"/>
              <w:ind w:left="360" w:right="0" w:hanging="360"/>
              <w:contextualSpacing/>
              <w:jc w:val="both"/>
              <w:rPr/>
            </w:pPr>
            <w:r>
              <w:rPr/>
            </w:r>
          </w:p>
        </w:tc>
        <w:tc>
          <w:tcPr>
            <w:tcW w:w="1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before="60" w:after="60"/>
              <w:ind w:left="1224" w:right="0" w:hanging="1199"/>
              <w:contextualSpacing/>
              <w:jc w:val="both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 кадастровых работ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Исполнитель обеспечивает строгое соблюдение настоящих требований и требований, содержащихся в иных документах, регламентирующих деятельность в области выполнения кадастровых работ.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Исполнитель обеспечивает: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Выполнение работ в полном соответствии с настоящими техническими требованиями, условиями договора и с соблюдением действующего законодательства, регламентирующего деятельность в области выполнения кадастровых работ;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i/>
                <w:sz w:val="24"/>
                <w:szCs w:val="24"/>
              </w:rPr>
              <w:t>- Качество выполнения всех работ в соответствии с требованиями действующего законодательства, регламентирующего деятельность в области выполнения кадастровых работ и технической инвентаризации;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Своевременное устранение недостатков и дефектов, выявленных при приемке работ и в течение гарантийного срока.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При внесении в действующее законодательство изменений, влияющих на выполнение указанных в настоящих технических требованиях работ, настоящие технические требования подлежит корректировке по согласованию с Заказчиком.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i/>
                <w:sz w:val="24"/>
                <w:szCs w:val="24"/>
              </w:rPr>
              <w:t>В целях обеспечения оперативного контроля выполнения работ Исполнитель направляет Заказчику информацию о ходе выполнения работ. Заказчик определяет порядок представления Заказчику и форму мониторинга выполнения работ.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before="60" w:after="60"/>
              <w:ind w:left="1224" w:right="0" w:hanging="1199"/>
              <w:contextualSpacing/>
              <w:jc w:val="both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Гарантии подрядной организации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Гарантии качества на все работы, предусмотренные в настоящих технических требованиях, должны составлять 5 (пять) лет с момента подписания акт сдачи-приемки работ.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header="680" w:top="851" w:footer="0" w:bottom="851" w:gutter="0"/>
          <w:pgNumType w:fmt="decimal"/>
          <w:formProt w:val="false"/>
          <w:titlePg/>
          <w:textDirection w:val="lrTb"/>
          <w:docGrid w:type="default" w:linePitch="381" w:charSpace="4294952959"/>
        </w:sectPr>
      </w:pPr>
    </w:p>
    <w:p>
      <w:pPr>
        <w:pStyle w:val="1"/>
        <w:numPr>
          <w:ilvl w:val="0"/>
          <w:numId w:val="2"/>
        </w:numPr>
        <w:ind w:left="284" w:right="0" w:hanging="567"/>
        <w:jc w:val="both"/>
        <w:rPr/>
      </w:pPr>
      <w:bookmarkStart w:id="30" w:name="_Toc53393312"/>
      <w:bookmarkStart w:id="31" w:name="_Toc137820521"/>
      <w:r>
        <w:rPr/>
        <w:t>Требования к документации по ценообразованию</w:t>
      </w:r>
      <w:bookmarkEnd w:id="30"/>
      <w:bookmarkEnd w:id="31"/>
      <w:r>
        <w:rPr/>
        <w:t xml:space="preserve"> на этапе закупки</w:t>
      </w:r>
    </w:p>
    <w:p>
      <w:pPr>
        <w:pStyle w:val="Normal"/>
        <w:ind w:left="0" w:right="0" w:firstLine="357"/>
        <w:jc w:val="both"/>
        <w:rPr/>
      </w:pPr>
      <w:r>
        <w:rPr>
          <w:rFonts w:eastAsia="Calibri"/>
          <w:i/>
          <w:iCs/>
          <w:sz w:val="24"/>
          <w:szCs w:val="24"/>
          <w:lang w:val="x-none" w:eastAsia="x-none"/>
        </w:rPr>
        <w:t xml:space="preserve">В составе заявки Участник представляет Коммерческое предложение в соответствии с документацией о закупке. </w:t>
      </w:r>
      <w:r>
        <w:rPr>
          <w:rFonts w:eastAsia="Calibri"/>
          <w:i/>
          <w:iCs/>
          <w:sz w:val="24"/>
          <w:szCs w:val="24"/>
          <w:lang w:eastAsia="x-none"/>
        </w:rPr>
        <w:t>Дополнительные документы по ценообразованию не предоставляются.</w:t>
      </w:r>
    </w:p>
    <w:p>
      <w:pPr>
        <w:pStyle w:val="Normal"/>
        <w:ind w:left="0" w:right="0" w:firstLine="357"/>
        <w:jc w:val="both"/>
        <w:rPr>
          <w:lang w:eastAsia="x-none"/>
        </w:rPr>
      </w:pPr>
      <w:r>
        <w:rPr>
          <w:lang w:eastAsia="x-none"/>
        </w:rPr>
      </w:r>
    </w:p>
    <w:p>
      <w:pPr>
        <w:pStyle w:val="1"/>
        <w:numPr>
          <w:ilvl w:val="0"/>
          <w:numId w:val="2"/>
        </w:numPr>
        <w:ind w:left="0" w:right="0" w:hanging="0"/>
        <w:jc w:val="both"/>
        <w:rPr/>
      </w:pPr>
      <w:bookmarkStart w:id="32" w:name="_Toc137820522"/>
      <w:bookmarkStart w:id="33" w:name="_Toc51339699"/>
      <w:bookmarkStart w:id="34" w:name="_Toc46743519"/>
      <w:bookmarkEnd w:id="32"/>
      <w:bookmarkEnd w:id="33"/>
      <w:bookmarkEnd w:id="34"/>
      <w:r>
        <w:rPr/>
        <w:t>Приложения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Приложение №1: Требования к участнику.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b/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Начальник отдела управления имуществом</w:t>
      </w:r>
    </w:p>
    <w:p>
      <w:pPr>
        <w:pStyle w:val="Normal"/>
        <w:rPr>
          <w:b/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филиала АО «ДРСК» «ПЭС»                                                                                          Якимчук А.В.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(дата)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b/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header="680" w:top="1134" w:footer="0" w:bottom="992" w:gutter="0"/>
      <w:pgNumType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12</w:t>
    </w:r>
    <w: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20</w:t>
    </w:r>
    <w:r>
      <w:fldChar w:fldCharType="end"/>
    </w:r>
  </w:p>
  <w:p>
    <w:pPr>
      <w:pStyle w:val="Style37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0</w:t>
    </w:r>
    <w:r>
      <w:fldChar w:fldCharType="end"/>
    </w:r>
  </w:p>
  <w:p>
    <w:pPr>
      <w:pStyle w:val="Style37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%1."/>
      <w:lvlJc w:val="left"/>
      <w:pPr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347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8"/>
      <w:lang w:val="ru-RU" w:eastAsia="ru-RU" w:bidi="ar-SA"/>
    </w:rPr>
  </w:style>
  <w:style w:type="paragraph" w:styleId="1">
    <w:name w:val="Heading 1"/>
    <w:basedOn w:val="3"/>
    <w:qFormat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qFormat/>
    <w:pPr>
      <w:numPr>
        <w:ilvl w:val="0"/>
        <w:numId w:val="0"/>
      </w:numPr>
      <w:ind w:left="567" w:right="0" w:hanging="567"/>
    </w:pPr>
    <w:rPr/>
  </w:style>
  <w:style w:type="paragraph" w:styleId="3">
    <w:name w:val="Heading 3"/>
    <w:basedOn w:val="Normal"/>
    <w:autoRedefine/>
    <w:qFormat/>
    <w:pPr>
      <w:keepNext w:val="true"/>
      <w:numPr>
        <w:ilvl w:val="2"/>
        <w:numId w:val="1"/>
      </w:numPr>
      <w:ind w:left="567" w:right="0" w:hanging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qFormat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7">
    <w:name w:val="Интернет-ссылка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1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1">
    <w:name w:val="Заголовок 5 Знак"/>
    <w:qFormat/>
    <w:rPr>
      <w:b/>
      <w:bCs/>
      <w:i/>
      <w:iCs/>
      <w:sz w:val="26"/>
      <w:szCs w:val="26"/>
    </w:rPr>
  </w:style>
  <w:style w:type="character" w:styleId="91">
    <w:name w:val="Заголовок 9 Знак"/>
    <w:qFormat/>
    <w:rPr>
      <w:rFonts w:ascii="Arial" w:hAnsi="Arial" w:cs="Arial"/>
      <w:sz w:val="22"/>
      <w:szCs w:val="22"/>
    </w:rPr>
  </w:style>
  <w:style w:type="character" w:styleId="Style8">
    <w:name w:val="Название Знак"/>
    <w:qFormat/>
    <w:rPr>
      <w:sz w:val="28"/>
    </w:rPr>
  </w:style>
  <w:style w:type="character" w:styleId="Style9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0">
    <w:name w:val="Выделение"/>
    <w:qFormat/>
    <w:rPr>
      <w:i/>
      <w:iCs/>
    </w:rPr>
  </w:style>
  <w:style w:type="character" w:styleId="22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11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2">
    <w:name w:val="Электронная подпись Знак"/>
    <w:qFormat/>
    <w:rPr>
      <w:rFonts w:eastAsia="Calibri"/>
      <w:sz w:val="24"/>
      <w:szCs w:val="24"/>
    </w:rPr>
  </w:style>
  <w:style w:type="character" w:styleId="12">
    <w:name w:val="Подпункт Знак1"/>
    <w:qFormat/>
    <w:rPr>
      <w:sz w:val="28"/>
    </w:rPr>
  </w:style>
  <w:style w:type="character" w:styleId="Style13">
    <w:name w:val="Текст сноски Знак"/>
    <w:qFormat/>
    <w:rPr/>
  </w:style>
  <w:style w:type="character" w:styleId="Style14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15">
    <w:name w:val="Абзац списка Знак"/>
    <w:qFormat/>
    <w:rPr>
      <w:rFonts w:eastAsia="Calibri"/>
      <w:sz w:val="24"/>
      <w:szCs w:val="24"/>
    </w:rPr>
  </w:style>
  <w:style w:type="character" w:styleId="Style16">
    <w:name w:val="комментарий"/>
    <w:qFormat/>
    <w:rPr>
      <w:i/>
    </w:rPr>
  </w:style>
  <w:style w:type="character" w:styleId="Style17">
    <w:name w:val="Подподпункт Знак"/>
    <w:qFormat/>
    <w:rPr>
      <w:sz w:val="26"/>
      <w:szCs w:val="26"/>
    </w:rPr>
  </w:style>
  <w:style w:type="character" w:styleId="32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8">
    <w:name w:val="Верхний колонтитул Знак"/>
    <w:qFormat/>
    <w:rPr>
      <w:sz w:val="24"/>
      <w:szCs w:val="24"/>
    </w:rPr>
  </w:style>
  <w:style w:type="character" w:styleId="Style19">
    <w:name w:val="Текст примечания Знак"/>
    <w:qFormat/>
    <w:rPr/>
  </w:style>
  <w:style w:type="character" w:styleId="Style20">
    <w:name w:val="Текст концевой сноски Знак"/>
    <w:basedOn w:val="DefaultParagraphFont"/>
    <w:qFormat/>
    <w:rPr/>
  </w:style>
  <w:style w:type="character" w:styleId="Style21">
    <w:name w:val="Символ концевой сноски"/>
    <w:qFormat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23">
    <w:name w:val="Пункт2 Знак"/>
    <w:qFormat/>
    <w:rPr>
      <w:b/>
      <w:sz w:val="28"/>
    </w:rPr>
  </w:style>
  <w:style w:type="character" w:styleId="13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33">
    <w:name w:val="Основной текст с отступом 3 Знак"/>
    <w:qFormat/>
    <w:rPr>
      <w:sz w:val="16"/>
      <w:szCs w:val="16"/>
    </w:rPr>
  </w:style>
  <w:style w:type="character" w:styleId="Style23">
    <w:name w:val="Посещённая гиперссылка"/>
    <w:basedOn w:val="DefaultParagraphFont"/>
    <w:rPr>
      <w:color w:val="954F72"/>
      <w:u w:val="single"/>
    </w:rPr>
  </w:style>
  <w:style w:type="character" w:styleId="Style24">
    <w:name w:val="Ссылка указателя"/>
    <w:qFormat/>
    <w:rPr/>
  </w:style>
  <w:style w:type="character" w:styleId="Style25">
    <w:name w:val="Символ нумерации"/>
    <w:qFormat/>
    <w:rPr/>
  </w:style>
  <w:style w:type="character" w:styleId="ListLabel1">
    <w:name w:val="ListLabel 1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2">
    <w:name w:val="ListLabel 2"/>
    <w:qFormat/>
    <w:rPr>
      <w:b/>
      <w:bCs/>
      <w:i w:val="false"/>
      <w:iCs/>
      <w:sz w:val="24"/>
      <w:szCs w:val="24"/>
    </w:rPr>
  </w:style>
  <w:style w:type="character" w:styleId="ListLabel3">
    <w:name w:val="ListLabel 3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4">
    <w:name w:val="ListLabel 4"/>
    <w:qFormat/>
    <w:rPr>
      <w:b/>
      <w:bCs/>
      <w:i w:val="false"/>
      <w:iCs/>
      <w:sz w:val="24"/>
      <w:szCs w:val="24"/>
    </w:rPr>
  </w:style>
  <w:style w:type="character" w:styleId="ListLabel5">
    <w:name w:val="ListLabel 5"/>
    <w:qFormat/>
    <w:rPr>
      <w:b/>
      <w:bCs w:val="false"/>
      <w:sz w:val="24"/>
      <w:szCs w:val="24"/>
    </w:rPr>
  </w:style>
  <w:style w:type="character" w:styleId="ListLabel6">
    <w:name w:val="ListLabel 6"/>
    <w:qFormat/>
    <w:rPr>
      <w:b/>
      <w:bCs/>
      <w:sz w:val="24"/>
      <w:szCs w:val="24"/>
    </w:rPr>
  </w:style>
  <w:style w:type="character" w:styleId="ListLabel7">
    <w:name w:val="ListLabel 7"/>
    <w:qFormat/>
    <w:rPr>
      <w:sz w:val="24"/>
      <w:szCs w:val="24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7">
    <w:name w:val="Body Text"/>
    <w:basedOn w:val="Normal"/>
    <w:pPr>
      <w:spacing w:before="0" w:after="120"/>
    </w:pPr>
    <w:rPr/>
  </w:style>
  <w:style w:type="paragraph" w:styleId="Style28">
    <w:name w:val="List"/>
    <w:basedOn w:val="Style27"/>
    <w:pPr/>
    <w:rPr>
      <w:rFonts w:cs="Lohit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Lohit Devanagari"/>
    </w:rPr>
  </w:style>
  <w:style w:type="paragraph" w:styleId="Style31">
    <w:name w:val="Title"/>
    <w:basedOn w:val="Normal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Style32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33">
    <w:name w:val="Раздел положения"/>
    <w:basedOn w:val="Normal"/>
    <w:autoRedefine/>
    <w:qFormat/>
    <w:pPr>
      <w:spacing w:before="80" w:after="80"/>
      <w:jc w:val="center"/>
    </w:pPr>
    <w:rPr>
      <w:b/>
      <w:sz w:val="32"/>
      <w:szCs w:val="32"/>
    </w:rPr>
  </w:style>
  <w:style w:type="paragraph" w:styleId="Style34">
    <w:name w:val="Подраздел раздела положения"/>
    <w:basedOn w:val="Normal"/>
    <w:autoRedefine/>
    <w:qFormat/>
    <w:pPr>
      <w:spacing w:before="80" w:after="80"/>
      <w:jc w:val="both"/>
    </w:pPr>
    <w:rPr/>
  </w:style>
  <w:style w:type="paragraph" w:styleId="Style35">
    <w:name w:val="Footnote Text"/>
    <w:basedOn w:val="Normal"/>
    <w:pPr/>
    <w:rPr>
      <w:sz w:val="20"/>
      <w:szCs w:val="20"/>
    </w:rPr>
  </w:style>
  <w:style w:type="paragraph" w:styleId="15">
    <w:name w:val="Шапка 1"/>
    <w:basedOn w:val="Normal"/>
    <w:qFormat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4">
    <w:name w:val="Шапка 2"/>
    <w:basedOn w:val="Normal"/>
    <w:qFormat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4">
    <w:name w:val="Шапка 3"/>
    <w:basedOn w:val="Normal"/>
    <w:qFormat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Style36">
    <w:name w:val="Колонтитул"/>
    <w:basedOn w:val="Normal"/>
    <w:qFormat/>
    <w:pPr/>
    <w:rPr/>
  </w:style>
  <w:style w:type="paragraph" w:styleId="Style37">
    <w:name w:val="Header"/>
    <w:basedOn w:val="Normal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8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Style39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40">
    <w:name w:val="Подпункт"/>
    <w:basedOn w:val="Normal"/>
    <w:qFormat/>
    <w:pPr>
      <w:tabs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5">
    <w:name w:val="Пункт2"/>
    <w:basedOn w:val="Normal"/>
    <w:qFormat/>
    <w:pPr>
      <w:keepNext w:val="true"/>
      <w:numPr>
        <w:ilvl w:val="0"/>
        <w:numId w:val="0"/>
      </w:numPr>
      <w:tabs>
        <w:tab w:val="left" w:pos="1134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17">
    <w:name w:val="TOC 1"/>
    <w:basedOn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5">
    <w:name w:val="TOC 3"/>
    <w:basedOn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41">
    <w:name w:val="Раздел регламента"/>
    <w:basedOn w:val="Normal"/>
    <w:qFormat/>
    <w:pPr/>
    <w:rPr/>
  </w:style>
  <w:style w:type="paragraph" w:styleId="Style42">
    <w:name w:val="Приложение к регламенту"/>
    <w:basedOn w:val="Normal"/>
    <w:qFormat/>
    <w:pPr>
      <w:jc w:val="right"/>
    </w:pPr>
    <w:rPr/>
  </w:style>
  <w:style w:type="paragraph" w:styleId="26">
    <w:name w:val="TOC 2"/>
    <w:basedOn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18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42">
    <w:name w:val="TOC 4"/>
    <w:basedOn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7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43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44">
    <w:name w:val="Subtitle"/>
    <w:basedOn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Style45">
    <w:name w:val="Index Heading"/>
    <w:basedOn w:val="Style26"/>
    <w:pPr/>
    <w:rPr/>
  </w:style>
  <w:style w:type="paragraph" w:styleId="TOCHeading">
    <w:name w:val="TOC Heading"/>
    <w:basedOn w:val="1"/>
    <w:qFormat/>
    <w:pPr>
      <w:keepLines/>
      <w:numPr>
        <w:ilvl w:val="0"/>
        <w:numId w:val="0"/>
      </w:numPr>
      <w:spacing w:before="480" w:after="0"/>
      <w:ind w:left="567" w:right="0" w:hanging="567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Style46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>
    <w:name w:val="Нумерованный список ур3"/>
    <w:basedOn w:val="Normal"/>
    <w:qFormat/>
    <w:p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>
    <w:name w:val="Нумерованный список ур2"/>
    <w:basedOn w:val="Normal"/>
    <w:qFormat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00000A"/>
      <w:sz w:val="28"/>
      <w:szCs w:val="20"/>
      <w:lang w:val="ru-RU" w:eastAsia="ru-RU" w:bidi="ar-SA"/>
    </w:rPr>
  </w:style>
  <w:style w:type="paragraph" w:styleId="37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7">
    <w:name w:val="Пункт"/>
    <w:basedOn w:val="Normal"/>
    <w:qFormat/>
    <w:pPr>
      <w:widowControl w:val="false"/>
      <w:tabs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8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9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50">
    <w:name w:val="Подподпункт"/>
    <w:basedOn w:val="Style40"/>
    <w:qFormat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51">
    <w:name w:val="УРОВЕНЬ_(а)"/>
    <w:basedOn w:val="ListParagraph"/>
    <w:qFormat/>
    <w:pPr>
      <w:numPr>
        <w:ilvl w:val="0"/>
        <w:numId w:val="0"/>
      </w:numPr>
      <w:spacing w:lineRule="exact" w:line="360" w:before="120" w:after="0"/>
      <w:ind w:left="720" w:right="0" w:hanging="0"/>
      <w:contextualSpacing/>
      <w:jc w:val="both"/>
      <w:outlineLvl w:val="3"/>
    </w:pPr>
    <w:rPr>
      <w:sz w:val="26"/>
      <w:szCs w:val="28"/>
      <w:lang w:eastAsia="en-US"/>
    </w:rPr>
  </w:style>
  <w:style w:type="paragraph" w:styleId="Style52">
    <w:name w:val="УРОВЕНЬ_-"/>
    <w:basedOn w:val="ListParagraph"/>
    <w:qFormat/>
    <w:pPr>
      <w:numPr>
        <w:ilvl w:val="0"/>
        <w:numId w:val="0"/>
      </w:numPr>
      <w:spacing w:lineRule="exact" w:line="360" w:before="120" w:after="0"/>
      <w:ind w:left="720" w:right="0" w:hanging="0"/>
      <w:contextualSpacing/>
      <w:jc w:val="both"/>
      <w:outlineLvl w:val="4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8">
    <w:name w:val="УРОВЕНЬ_Абзац_тип3"/>
    <w:basedOn w:val="ListParagraph"/>
    <w:qFormat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3">
    <w:name w:val="УРОВЕНЬ_Подпись"/>
    <w:basedOn w:val="ListParagraph"/>
    <w:qFormat/>
    <w:pPr>
      <w:keepNext w:val="true"/>
      <w:numPr>
        <w:ilvl w:val="0"/>
        <w:numId w:val="0"/>
      </w:numPr>
      <w:spacing w:lineRule="exact" w:line="360" w:before="120" w:after="120"/>
      <w:ind w:left="720" w:right="0" w:hanging="0"/>
      <w:contextualSpacing/>
      <w:jc w:val="right"/>
      <w:outlineLvl w:val="3"/>
    </w:pPr>
    <w:rPr>
      <w:sz w:val="26"/>
      <w:szCs w:val="28"/>
      <w:lang w:eastAsia="en-US"/>
    </w:rPr>
  </w:style>
  <w:style w:type="paragraph" w:styleId="110">
    <w:name w:val="Стиль Заголовок 1 + по ширине"/>
    <w:basedOn w:val="1"/>
    <w:qFormat/>
    <w:pPr>
      <w:keepLines/>
      <w:numPr>
        <w:ilvl w:val="0"/>
        <w:numId w:val="0"/>
      </w:numPr>
      <w:tabs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Symbol">
    <w:name w:val="Endnote Symbol"/>
    <w:basedOn w:val="Normal"/>
    <w:qFormat/>
    <w:pPr/>
    <w:rPr>
      <w:sz w:val="20"/>
      <w:szCs w:val="20"/>
    </w:rPr>
  </w:style>
  <w:style w:type="paragraph" w:styleId="210">
    <w:name w:val="Заголовок 2 КВВ"/>
    <w:basedOn w:val="Normal"/>
    <w:qFormat/>
    <w:pPr>
      <w:keepNext w:val="true"/>
      <w:numPr>
        <w:ilvl w:val="0"/>
        <w:numId w:val="0"/>
      </w:numPr>
      <w:suppressAutoHyphens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54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1">
    <w:name w:val="УРОВЕНЬ_1."/>
    <w:basedOn w:val="ListParagraph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72">
    <w:name w:val="TOC 7"/>
    <w:basedOn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Msonormal">
    <w:name w:val="msonormal"/>
    <w:basedOn w:val="Normal"/>
    <w:qFormat/>
    <w:pPr>
      <w:spacing w:before="280" w:after="280"/>
    </w:pPr>
    <w:rPr>
      <w:sz w:val="24"/>
      <w:szCs w:val="24"/>
    </w:rPr>
  </w:style>
  <w:style w:type="paragraph" w:styleId="Font5">
    <w:name w:val="font5"/>
    <w:basedOn w:val="Normal"/>
    <w:qFormat/>
    <w:pPr>
      <w:spacing w:before="280" w:after="280"/>
    </w:pPr>
    <w:rPr>
      <w:color w:val="000000"/>
      <w:sz w:val="24"/>
      <w:szCs w:val="24"/>
    </w:rPr>
  </w:style>
  <w:style w:type="paragraph" w:styleId="Font6">
    <w:name w:val="font6"/>
    <w:basedOn w:val="Normal"/>
    <w:qFormat/>
    <w:pPr>
      <w:spacing w:before="280" w:after="280"/>
    </w:pPr>
    <w:rPr>
      <w:color w:val="000000"/>
      <w:sz w:val="14"/>
      <w:szCs w:val="14"/>
    </w:rPr>
  </w:style>
  <w:style w:type="paragraph" w:styleId="Xl63">
    <w:name w:val="xl63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4">
    <w:name w:val="xl64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65">
    <w:name w:val="xl65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both"/>
      <w:textAlignment w:val="center"/>
    </w:pPr>
    <w:rPr>
      <w:sz w:val="24"/>
      <w:szCs w:val="24"/>
    </w:rPr>
  </w:style>
  <w:style w:type="paragraph" w:styleId="Xl67">
    <w:name w:val="xl67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i/>
      <w:iCs/>
      <w:sz w:val="24"/>
      <w:szCs w:val="24"/>
    </w:rPr>
  </w:style>
  <w:style w:type="paragraph" w:styleId="Xl68">
    <w:name w:val="xl68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9">
    <w:name w:val="xl69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i/>
      <w:iCs/>
      <w:sz w:val="24"/>
      <w:szCs w:val="24"/>
    </w:rPr>
  </w:style>
  <w:style w:type="paragraph" w:styleId="Xl70">
    <w:name w:val="xl70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</w:rPr>
  </w:style>
  <w:style w:type="paragraph" w:styleId="Xl71">
    <w:name w:val="xl71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2">
    <w:name w:val="xl72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3">
    <w:name w:val="xl73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</w:rPr>
  </w:style>
  <w:style w:type="paragraph" w:styleId="Xl74">
    <w:name w:val="xl74"/>
    <w:basedOn w:val="Normal"/>
    <w:qFormat/>
    <w:pPr>
      <w:pBdr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</w:rPr>
  </w:style>
  <w:style w:type="paragraph" w:styleId="Xl75">
    <w:name w:val="xl75"/>
    <w:basedOn w:val="Normal"/>
    <w:qFormat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</w:rPr>
  </w:style>
  <w:style w:type="paragraph" w:styleId="Xl76">
    <w:name w:val="xl76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7">
    <w:name w:val="xl77"/>
    <w:basedOn w:val="Normal"/>
    <w:qFormat/>
    <w:pPr>
      <w:pBdr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8">
    <w:name w:val="xl78"/>
    <w:basedOn w:val="Normal"/>
    <w:qFormat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9">
    <w:name w:val="xl79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/>
    <w:rPr/>
  </w:style>
  <w:style w:type="paragraph" w:styleId="Style191">
    <w:name w:val="Style19"/>
    <w:basedOn w:val="Normal"/>
    <w:qFormat/>
    <w:pPr>
      <w:widowControl w:val="false"/>
      <w:spacing w:lineRule="exact" w:line="317"/>
      <w:ind w:left="0" w:right="0" w:firstLine="144"/>
      <w:jc w:val="both"/>
    </w:pPr>
    <w:rPr/>
  </w:style>
  <w:style w:type="numbering" w:styleId="112">
    <w:name w:val="Стиль1"/>
    <w:qFormat/>
  </w:style>
  <w:style w:type="numbering" w:styleId="211">
    <w:name w:val="Стиль2"/>
    <w:qFormat/>
  </w:style>
  <w:style w:type="numbering" w:styleId="34614631651">
    <w:name w:val="346146316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18658</TotalTime>
  <Application>LibreOffice/5.3.6.1$Linux_X86_64 LibreOffice_project/30$Build-1</Application>
  <Pages>21</Pages>
  <Words>3703</Words>
  <Characters>25529</Characters>
  <CharactersWithSpaces>28878</CharactersWithSpaces>
  <Paragraphs>464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2023-09-11T07:06:00Z</dcterms:created>
  <dc:creator>Елькин Алексей Юрьевич</dc:creator>
  <dc:description/>
  <dc:language>ru-RU</dc:language>
  <cp:lastModifiedBy/>
  <cp:lastPrinted>2026-05-20T15:56:30Z</cp:lastPrinted>
  <dcterms:modified xsi:type="dcterms:W3CDTF">2026-05-20T16:25:17Z</dcterms:modified>
  <cp:revision>99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