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16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_______________В.А.Кяри</w:t>
      </w:r>
    </w:p>
    <w:p>
      <w:pPr>
        <w:pStyle w:val="Normal"/>
        <w:jc w:val="right"/>
        <w:rPr>
          <w:rFonts w:eastAsia="Calibri"/>
          <w:b/>
          <w:color w:val="FF0000"/>
        </w:rPr>
      </w:pPr>
      <w:r>
        <w:rPr>
          <w:sz w:val="24"/>
          <w:szCs w:val="24"/>
        </w:rPr>
        <w:t>«______»___________________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Blk"/>
          <w:rFonts w:eastAsia="Calibri"/>
          <w:i/>
          <w:iCs/>
          <w:sz w:val="28"/>
          <w:szCs w:val="28"/>
        </w:rPr>
        <w:t xml:space="preserve">ОКПД2 </w:t>
      </w:r>
      <w:r>
        <w:rPr>
          <w:rStyle w:val="Blk"/>
          <w:rFonts w:eastAsia="Calibri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86.90.19.110</w:t>
      </w:r>
      <w:r>
        <w:rPr>
          <w:rStyle w:val="Blk"/>
          <w:rFonts w:eastAsia="Calibri"/>
          <w:i/>
          <w:iCs/>
          <w:sz w:val="28"/>
          <w:szCs w:val="28"/>
        </w:rPr>
        <w:t xml:space="preserve"> 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 для нужд Саяно-Шушенского филиала АО «ТК РусГидро</w:t>
      </w:r>
      <w:r>
        <w:rPr>
          <w:rStyle w:val="Blk"/>
          <w:i/>
          <w:iCs/>
          <w:sz w:val="28"/>
          <w:szCs w:val="28"/>
        </w:rPr>
        <w:t>».</w:t>
      </w:r>
    </w:p>
    <w:p>
      <w:pPr>
        <w:pStyle w:val="Normal"/>
        <w:keepNext w:val="true"/>
        <w:keepLines/>
        <w:jc w:val="center"/>
        <w:rPr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Calibri"/>
          <w:i/>
          <w:iCs/>
          <w:color w:val="000000"/>
          <w:sz w:val="24"/>
          <w:szCs w:val="24"/>
          <w:shd w:fill="FFFFFF" w:val="clear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shd w:fill="FFFF00" w:val="clear"/>
        </w:rPr>
      </w:pPr>
      <w:r>
        <w:rPr>
          <w:rFonts w:eastAsia="Calibri"/>
          <w:b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  <w:b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>Таблица 4 . Требования к качеству услуг…………………………………………………………6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360"/>
        <w:ind w:left="3686" w:hanging="284"/>
        <w:jc w:val="left"/>
        <w:rPr>
          <w:b/>
          <w:caps/>
        </w:rPr>
      </w:pPr>
      <w:bookmarkStart w:id="0" w:name="_Toc125462028"/>
      <w:r>
        <w:rPr>
          <w:b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" w:name="_Toc46743505"/>
      <w:bookmarkStart w:id="2" w:name="_Toc125462029"/>
      <w:r>
        <w:rPr>
          <w:b/>
        </w:rPr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СШФ 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Саяно-Шушенский филиал 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bookmarkStart w:id="3" w:name="_GoBack"/>
            <w:bookmarkEnd w:id="3"/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контроль условий труда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4" w:name="_Toc125462030"/>
      <w:bookmarkStart w:id="5" w:name="_Toc46743506"/>
      <w:r>
        <w:rPr>
          <w:b/>
        </w:rPr>
        <w:t>Наименование закупаемой продукции</w:t>
      </w:r>
      <w:bookmarkEnd w:id="4"/>
      <w:bookmarkEnd w:id="5"/>
    </w:p>
    <w:p>
      <w:pPr>
        <w:pStyle w:val="Heading4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r>
        <w:rPr>
          <w:rStyle w:val="Blk"/>
          <w:rFonts w:eastAsia="Calibri"/>
          <w:b w:val="false"/>
          <w:bCs/>
          <w:i w:val="false"/>
          <w:iCs w:val="false"/>
          <w:sz w:val="28"/>
          <w:szCs w:val="28"/>
          <w:shd w:fill="auto" w:val="clear"/>
          <w:lang w:eastAsia="x-none"/>
        </w:rPr>
        <w:t xml:space="preserve">ОКПД2 </w:t>
      </w:r>
      <w:r>
        <w:rPr>
          <w:rStyle w:val="Blk"/>
          <w:rFonts w:eastAsia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x-none"/>
        </w:rPr>
        <w:t>86.90.19.110</w:t>
      </w:r>
      <w:r>
        <w:rPr>
          <w:rStyle w:val="Blk"/>
          <w:rFonts w:eastAsia="Calibri"/>
          <w:b w:val="false"/>
          <w:bCs/>
          <w:i w:val="false"/>
          <w:iCs w:val="false"/>
          <w:sz w:val="28"/>
          <w:szCs w:val="28"/>
          <w:shd w:fill="auto" w:val="clear"/>
          <w:lang w:eastAsia="x-none"/>
        </w:rPr>
        <w:t xml:space="preserve"> 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 для нужд Саяно-Шушенского филиала АО «ТК 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6" w:name="_Toc125462031"/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  <w:r>
        <w:rPr>
          <w:b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bCs/>
          <w:sz w:val="24"/>
          <w:szCs w:val="24"/>
        </w:rPr>
        <w:t>Проведение лабораторных исследований рабочей зоны и среды пребывания работников (Производственный контроль) необходимо для соблюдения производственного контроля условий труда работников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8" w:name="_Toc125462032"/>
      <w:r>
        <w:rPr>
          <w:b/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12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>Территория Саяно-Шушенского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Хакасия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Саяногорск, рп. Черёмушки, д.101.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>
          <w:rStyle w:val="Strong"/>
          <w:b w:val="false"/>
          <w:bCs/>
        </w:rPr>
      </w:pPr>
      <w:bookmarkStart w:id="9" w:name="_Toc125462033"/>
      <w:bookmarkStart w:id="10" w:name="_Hlk49857604"/>
      <w:bookmarkStart w:id="11" w:name="_Toc46743509"/>
      <w:r>
        <w:rPr>
          <w:b/>
        </w:rPr>
        <w:t xml:space="preserve">Информация в отношении исполнения договора, </w:t>
      </w:r>
      <w:bookmarkStart w:id="12" w:name="_Hlk46492347"/>
      <w:r>
        <w:rPr>
          <w:b/>
        </w:rPr>
        <w:t xml:space="preserve">которая должна быть учтена при подготовке заявки </w:t>
      </w:r>
      <w:bookmarkEnd w:id="12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9"/>
      <w:bookmarkEnd w:id="10"/>
      <w:bookmarkEnd w:id="11"/>
      <w:r>
        <w:rPr>
          <w:b/>
          <w:lang w:val="ru-RU"/>
        </w:rPr>
        <w:t xml:space="preserve"> </w:t>
      </w:r>
      <w:bookmarkStart w:id="13" w:name="_Hlk48209761"/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Заказчик поручает и обязуется оплатить, а Исполнитель принимает на себя обязательства возмездного оказания следующих услуг согласно заявке Заказчика.</w:t>
      </w:r>
    </w:p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360"/>
        <w:ind w:left="2835" w:hanging="283"/>
        <w:rPr>
          <w:b/>
          <w:sz w:val="24"/>
          <w:szCs w:val="24"/>
          <w:lang w:val="ru-RU"/>
        </w:rPr>
      </w:pPr>
      <w:bookmarkStart w:id="14" w:name="_Toc125462034"/>
      <w:bookmarkStart w:id="15" w:name="_Toc51339693"/>
      <w:bookmarkStart w:id="16" w:name="_Toc50125126"/>
      <w:bookmarkEnd w:id="13"/>
      <w:bookmarkEnd w:id="16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</w:t>
      </w:r>
      <w:bookmarkEnd w:id="14"/>
      <w:bookmarkEnd w:id="15"/>
      <w:r>
        <w:rPr>
          <w:b/>
          <w:sz w:val="24"/>
          <w:szCs w:val="24"/>
          <w:lang w:val="ru-RU"/>
        </w:rPr>
        <w:t>к оказываемым услугам</w:t>
      </w: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17" w:name="_Toc125462035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spacing w:lineRule="auto" w:line="360"/>
        <w:ind w:left="0" w:hanging="0"/>
        <w:rPr/>
      </w:pPr>
      <w:bookmarkStart w:id="18" w:name="_Toc125462036"/>
      <w:r>
        <w:rPr/>
        <w:t>Требования к перечню и объему услуг</w:t>
      </w:r>
      <w:bookmarkEnd w:id="18"/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19" w:name="_Toc125462037"/>
      <w:bookmarkStart w:id="20" w:name="_Toc51339695"/>
      <w:r>
        <w:rPr>
          <w:b/>
          <w:sz w:val="24"/>
          <w:szCs w:val="24"/>
        </w:rPr>
        <w:t xml:space="preserve">Таблица 2. Перечень </w:t>
      </w:r>
      <w:bookmarkEnd w:id="20"/>
      <w:r>
        <w:rPr>
          <w:b/>
          <w:sz w:val="24"/>
          <w:szCs w:val="24"/>
        </w:rPr>
        <w:t>и объем оказываемых услуг</w:t>
      </w:r>
      <w:bookmarkEnd w:id="19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деятельности,  и иных видов деятельности (работ, услуг) в целях установления соответствия (несоответствия) санитарным нормам и правилам для нужд Саяно-Шушенского филиала АО «ТК РусГидро»</w:t>
            </w: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1" w:name="_Toc125462038"/>
      <w:bookmarkStart w:id="22" w:name="_Toc51339696"/>
      <w:r>
        <w:rPr/>
        <w:t xml:space="preserve">Требования </w:t>
      </w:r>
      <w:bookmarkEnd w:id="22"/>
      <w:r>
        <w:rPr/>
        <w:t>к срокам оказания услуг</w:t>
      </w:r>
      <w:bookmarkEnd w:id="21"/>
    </w:p>
    <w:p>
      <w:pPr>
        <w:pStyle w:val="Heading1"/>
        <w:tabs>
          <w:tab w:val="clear" w:pos="0"/>
        </w:tabs>
        <w:rPr>
          <w:b/>
          <w:sz w:val="24"/>
          <w:szCs w:val="24"/>
          <w:lang w:val="ru-RU"/>
        </w:rPr>
      </w:pPr>
      <w:bookmarkStart w:id="23" w:name="_Toc125462039"/>
      <w:bookmarkStart w:id="24" w:name="_Toc51339697"/>
      <w:bookmarkStart w:id="25" w:name="_Toc50125127"/>
      <w:bookmarkStart w:id="26" w:name="_Toc501251261"/>
      <w:bookmarkEnd w:id="26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7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b/>
          <w:sz w:val="24"/>
          <w:szCs w:val="24"/>
          <w:lang w:val="ru-RU"/>
        </w:rPr>
        <w:t>оказания услуг</w:t>
      </w:r>
      <w:bookmarkEnd w:id="23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Blk"/>
                <w:rFonts w:eastAsia="Calibri"/>
                <w:b w:val="false"/>
                <w:bCs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>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 для нужд Саяно-Шушенского филиала АО «ТК РусГидро».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8" w:name="_Toc46743510"/>
            <w:r>
              <w:rPr>
                <w:bCs/>
                <w:sz w:val="24"/>
                <w:szCs w:val="24"/>
              </w:rPr>
              <w:t>по 31.12.2027 г.</w:t>
            </w:r>
            <w:bookmarkEnd w:id="28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29" w:name="_Toc51339698"/>
      <w:bookmarkStart w:id="30" w:name="_Toc125462040"/>
      <w:bookmarkStart w:id="31" w:name="_Toc46743511"/>
      <w:r>
        <w:rPr>
          <w:b/>
        </w:rPr>
        <w:t xml:space="preserve">Требования к </w:t>
      </w:r>
      <w:bookmarkEnd w:id="31"/>
      <w:r>
        <w:rPr>
          <w:b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lineRule="auto" w:line="360"/>
        <w:rPr>
          <w:rStyle w:val="Style8"/>
          <w:i w:val="false"/>
          <w:i w:val="false"/>
          <w:sz w:val="24"/>
          <w:szCs w:val="24"/>
          <w:shd w:fill="auto" w:val="clear"/>
        </w:rPr>
      </w:pPr>
      <w:bookmarkStart w:id="32" w:name="_Toc12546204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9"/>
      <w:r>
        <w:rPr>
          <w:b/>
          <w:sz w:val="24"/>
          <w:szCs w:val="24"/>
          <w:lang w:val="ru-RU"/>
        </w:rPr>
        <w:t>качеству услуг</w:t>
      </w:r>
      <w:bookmarkEnd w:id="32"/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</w:p>
    <w:tbl>
      <w:tblPr>
        <w:tblW w:w="1491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917"/>
      </w:tblGrid>
      <w:tr>
        <w:trPr>
          <w:trHeight w:val="557" w:hRule="atLeast"/>
        </w:trPr>
        <w:tc>
          <w:tcPr>
            <w:tcW w:w="1491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Оказание услуг  по санитарно-эпидемиологическим экспертизам, обследованиям, исследованиям, испытаниям,  гигиеническим и иным видам оценок документации объектов хозяйственной и иной деятельности,  и иных видов деятельности (работ, услуг) в целях установления соответствия (несоответствия) санитарным нормам и правилам для нужд Саяно-Шушенского филиала АО «ТК РусГидро».</w:t>
            </w:r>
            <w:r>
              <w:rPr>
                <w:rFonts w:eastAsia="Calibri"/>
                <w:sz w:val="24"/>
                <w:szCs w:val="24"/>
                <w:lang w:eastAsia="x-none"/>
              </w:rPr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fff7"/>
        <w:tblW w:w="1505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2"/>
        <w:gridCol w:w="3394"/>
        <w:gridCol w:w="5841"/>
        <w:gridCol w:w="2550"/>
        <w:gridCol w:w="2128"/>
      </w:tblGrid>
      <w:tr>
        <w:trPr>
          <w:trHeight w:val="276" w:hRule="atLeast"/>
        </w:trPr>
        <w:tc>
          <w:tcPr>
            <w:tcW w:w="11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8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11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8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28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3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5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в соответствии с </w:t>
            </w:r>
            <w:r>
              <w:rPr>
                <w:rStyle w:val="1"/>
                <w:rFonts w:eastAsia="Times New Roman" w:cs="Times New Roman"/>
                <w:bCs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Федеральным законом от 30.03.1999 N 52-ФЗ (в последней редакции) "О санитарно-эпидемиологическом благополучии населения"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лабораторных исследований, замеров, измерений с выездом эксперта(ов) на рабочие места Заказчика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оказывает услуги согласно предоставленному перечню и объему услуг указанных в Приложении №1 к настоящему Техническому требованию.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</w:t>
            </w:r>
            <w:hyperlink r:id="rId5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порядке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прошедшие поверку.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3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1.5.1.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Персонал исполнителя должен: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Иметь обучение на право выполнения работ по производственному контролю условий труда.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734" w:hRule="atLeast"/>
        </w:trPr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заказчику итогового комплекта документа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согласования.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результатам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17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251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итогам проведения 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лабораторных исследований рабочей зоны и среды пребывания работников, Исполнитель предоставляет на бумажном носителе: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1)протоколы проведения исследований (испытаний), измерений;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ind w:firstLine="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заключение эксперта.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84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25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92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731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5.1.1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разрешений, аттестации аккредитации испытательной лаборатории.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53" w:hRule="atLeast"/>
        </w:trPr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923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550" w:type="dxa"/>
            <w:tcBorders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b/>
          <w:iCs/>
          <w:sz w:val="24"/>
          <w:szCs w:val="24"/>
          <w:shd w:fill="FFFF99" w:val="clear"/>
        </w:rPr>
      </w:pPr>
      <w:r>
        <w:rPr>
          <w:b/>
          <w:iCs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552" w:leader="none"/>
        </w:tabs>
        <w:spacing w:lineRule="auto" w:line="360"/>
        <w:ind w:left="1276" w:hanging="283"/>
        <w:jc w:val="left"/>
        <w:rPr>
          <w:b/>
          <w:sz w:val="24"/>
          <w:szCs w:val="24"/>
        </w:rPr>
      </w:pPr>
      <w:bookmarkStart w:id="33" w:name="_Toc125462042"/>
      <w:bookmarkStart w:id="34" w:name="_Toc53393312"/>
      <w:bookmarkStart w:id="35" w:name="_Toc53395937"/>
      <w:bookmarkStart w:id="36" w:name="_Toc46743519"/>
      <w:bookmarkStart w:id="37" w:name="_Toc51339699"/>
      <w:bookmarkEnd w:id="36"/>
      <w:bookmarkEnd w:id="37"/>
      <w:r>
        <w:rPr>
          <w:b/>
          <w:sz w:val="24"/>
          <w:szCs w:val="24"/>
        </w:rPr>
        <w:t>Требования к документации по ценообразованию</w:t>
      </w:r>
      <w:bookmarkEnd w:id="34"/>
      <w:bookmarkEnd w:id="35"/>
      <w:r>
        <w:rPr>
          <w:b/>
          <w:sz w:val="24"/>
          <w:szCs w:val="24"/>
        </w:rPr>
        <w:t xml:space="preserve"> на этапе закупки</w:t>
      </w:r>
      <w:bookmarkEnd w:id="33"/>
    </w:p>
    <w:p>
      <w:pPr>
        <w:pStyle w:val="NoSpacing"/>
        <w:spacing w:lineRule="auto" w:line="240"/>
        <w:jc w:val="both"/>
        <w:rPr>
          <w:bCs/>
        </w:rPr>
      </w:pPr>
      <w:r>
        <w:rPr/>
        <w:t>3.1. 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jc w:val="both"/>
        <w:rPr>
          <w:bCs/>
        </w:rPr>
      </w:pPr>
      <w:r>
        <w:rPr/>
        <w:t>3.2. 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Spacing"/>
        <w:jc w:val="both"/>
        <w:rPr>
          <w:bCs/>
        </w:rPr>
      </w:pPr>
      <w:r>
        <w:rPr>
          <w:bCs/>
        </w:rPr>
      </w:r>
      <w:bookmarkStart w:id="38" w:name="_Toc467435191"/>
      <w:bookmarkStart w:id="39" w:name="_Toc513396991"/>
      <w:bookmarkStart w:id="40" w:name="_Toc467435191"/>
      <w:bookmarkStart w:id="41" w:name="_Toc513396991"/>
      <w:bookmarkEnd w:id="40"/>
      <w:bookmarkEnd w:id="41"/>
    </w:p>
    <w:p>
      <w:pPr>
        <w:pStyle w:val="NoSpacing"/>
        <w:spacing w:lineRule="auto" w:line="240"/>
        <w:jc w:val="both"/>
        <w:rPr>
          <w:bCs/>
        </w:rPr>
      </w:pPr>
      <w:r>
        <w:rPr/>
        <w:t xml:space="preserve">Руководитель ГОТиТБ                                                                                   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>
          <w:b/>
          <w:iCs/>
          <w:caps/>
          <w:lang w:val="x-none" w:eastAsia="x-none"/>
        </w:rPr>
      </w:r>
    </w:p>
    <w:p>
      <w:pPr>
        <w:pStyle w:val="NoSpacing"/>
        <w:spacing w:lineRule="auto" w:line="240"/>
        <w:jc w:val="right"/>
        <w:rPr/>
      </w:pPr>
      <w:r>
        <w:rPr/>
        <w:t>Приложение 1 к техническому  требованию</w:t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Услуги по замерам на акватории Саяно-Шушенского водохранилища Санитарно-эпидемиологическая оценка судов, исследование воды открытых водоемов и услуги по проведению лабораторных исследований, экспертиз (определение нефтепродуктов в воде)</w:t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tbl>
      <w:tblPr>
        <w:tblW w:w="10587" w:type="dxa"/>
        <w:jc w:val="left"/>
        <w:tblInd w:w="-6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"/>
        <w:gridCol w:w="4844"/>
        <w:gridCol w:w="1124"/>
        <w:gridCol w:w="932"/>
        <w:gridCol w:w="697"/>
        <w:gridCol w:w="932"/>
        <w:gridCol w:w="708"/>
        <w:gridCol w:w="899"/>
      </w:tblGrid>
      <w:tr>
        <w:trPr>
          <w:trHeight w:val="696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№</w:t>
            </w:r>
          </w:p>
        </w:tc>
        <w:tc>
          <w:tcPr>
            <w:tcW w:w="484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товара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Ед.измерения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1КВ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2КВ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3КВ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4КВ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Содержание взвешенных веществ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Содержание БПКполн.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Содержание железа общего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Содержание нефтепродуктов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скорость движения воздуха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температура и относительная влажность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искусственная освещенность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шум, уровни звукового давления, уровень звука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вибрация общая: эквивалентный корректированный уровень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минеральные масла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Экспертное заключение результатов лабораторных исследований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</w:p>
        </w:tc>
      </w:tr>
      <w:tr>
        <w:trPr>
          <w:trHeight w:val="264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Инструментальные измерения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Инструментальные измерения шум, вибрация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</w:tr>
      <w:tr>
        <w:trPr>
          <w:trHeight w:val="468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Санитарно-эпидемиологическая экспертиза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>
        <w:trPr>
          <w:trHeight w:val="1200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4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Экспертное заключение по санитарно-эпидемиологической экспертизе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</w:tbl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Услуги   по проведению лабораторных  исследований (производственный контроль) условий труда работников Саяно-Шушенского филиала АО «ТК РусГидро».</w:t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p>
      <w:pPr>
        <w:pStyle w:val="Normal"/>
        <w:widowControl w:val="false"/>
        <w:suppressAutoHyphens w:val="false"/>
        <w:jc w:val="center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tbl>
      <w:tblPr>
        <w:tblW w:w="10630" w:type="dxa"/>
        <w:jc w:val="left"/>
        <w:tblInd w:w="-7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"/>
        <w:gridCol w:w="4897"/>
        <w:gridCol w:w="1124"/>
        <w:gridCol w:w="933"/>
        <w:gridCol w:w="696"/>
        <w:gridCol w:w="931"/>
        <w:gridCol w:w="708"/>
        <w:gridCol w:w="900"/>
      </w:tblGrid>
      <w:tr>
        <w:trPr>
          <w:trHeight w:val="696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0" w:right="-57" w:hanging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№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Наименование товара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Единица изме- рения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1КВ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2КВ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3КВ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 4КВ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Коли- чество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вибрация общая: эквивалентный корректированный уровень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искусственная освещенность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4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скорость движения воздуха в одной точке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температура и относительная влажность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  <w:tr>
        <w:trPr>
          <w:trHeight w:val="924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ЭМП, создаваемые ПЭВМ (напряженность электрического поля, плотность магнитного потока)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коэффициент пульсации освещенности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напряженность электростатического поля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шум, уровни звукового давления, уровень звука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</w:tr>
      <w:tr>
        <w:trPr>
          <w:trHeight w:val="696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оксид хрома III (диХром триоксид (по хрому (III) в сварочном аэрозоле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индустриальные масла в воздухе рабочей зоны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696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ацетон (пропан2-он), бензол, толуол, ксилолы, стирол, бензин (1 вещество)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минеральные масла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марганец в сварочном аэрозоле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диЖелеза триоксид в одной точке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>
        <w:trPr>
          <w:trHeight w:val="468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углеводороды предельные С6-С10 (по гексану) ГАНК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>
        <w:trPr>
          <w:trHeight w:val="264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одно помещение (комната)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</w:p>
        </w:tc>
      </w:tr>
      <w:tr>
        <w:trPr>
          <w:trHeight w:val="264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рабочее место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</w:tr>
      <w:tr>
        <w:trPr>
          <w:trHeight w:val="696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489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Экспертное заключение результатов лабораторных исследований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</w:tr>
    </w:tbl>
    <w:p>
      <w:pPr>
        <w:pStyle w:val="Normal"/>
        <w:ind w:right="-2" w:hanging="0"/>
        <w:jc w:val="both"/>
        <w:rPr>
          <w:b/>
        </w:rPr>
      </w:pPr>
      <w:r>
        <w:rPr>
          <w:b/>
        </w:rPr>
      </w:r>
    </w:p>
    <w:p>
      <w:pPr>
        <w:pStyle w:val="Normal"/>
        <w:ind w:right="-2" w:hanging="0"/>
        <w:jc w:val="both"/>
        <w:rPr>
          <w:b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03b7e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03b7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character" w:styleId="Style15">
    <w:name w:val="Текст выноски Знак"/>
    <w:basedOn w:val="DefaultParagraphFont"/>
    <w:qFormat/>
    <w:rPr>
      <w:rFonts w:ascii="Segoe UI" w:hAnsi="Segoe UI" w:eastAsia="Calibri" w:cs="Segoe UI"/>
      <w:sz w:val="18"/>
      <w:szCs w:val="18"/>
    </w:rPr>
  </w:style>
  <w:style w:type="character" w:styleId="Apple-converted-space">
    <w:name w:val="apple-converted-space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1245d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9c5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a92317"/>
    <w:pPr>
      <w:suppressAutoHyphens w:val="false"/>
      <w:spacing w:beforeAutospacing="1" w:after="119"/>
    </w:pPr>
    <w:rPr>
      <w:color w:val="000000"/>
    </w:rPr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consultantplus://offline/ref=C9B77753C2327D3CD1440C117FE8B04BF6939B01FB8534BBED1EF74534B8033F243C41692FD991C6DDA4281571ACC1D3C9BCE0BD1E891876XDW3I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25D2-4541-476E-BDBF-92E40118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AlterOffice/3.4.0.9$Linux_X86_64 LibreOffice_project/b8daf9e823b1a5463a2f48435ddc2e8696e7d4fc</Application>
  <AppVersion>15.0000</AppVersion>
  <Pages>11</Pages>
  <Words>1518</Words>
  <Characters>9587</Characters>
  <CharactersWithSpaces>10785</CharactersWithSpaces>
  <Paragraphs>441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2023-08-17T02:45:00Z</dcterms:created>
  <dc:creator>Быстров Олег Геннадьевич</dc:creator>
  <dc:description/>
  <dc:language>ru-RU</dc:language>
  <cp:lastModifiedBy>kononkovas@corp.gidroogk.com</cp:lastModifiedBy>
  <cp:lastPrinted>2025-10-07T15:13:37Z</cp:lastPrinted>
  <dcterms:modified xsi:type="dcterms:W3CDTF">2026-05-21T11:44:00Z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