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245" w:hanging="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  <w:shd w:fill="FFFFFF" w:val="clear"/>
        </w:rPr>
        <w:t>УТВЕРЖДАЮ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Саяно-Шушенского филиала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_______________В.А.Кяри</w:t>
      </w:r>
    </w:p>
    <w:p>
      <w:pPr>
        <w:pStyle w:val="Normal"/>
        <w:jc w:val="right"/>
        <w:rPr>
          <w:rFonts w:eastAsia="Calibri"/>
          <w:b/>
          <w:color w:val="FF0000"/>
        </w:rPr>
      </w:pPr>
      <w:r>
        <w:rPr>
          <w:sz w:val="24"/>
          <w:szCs w:val="24"/>
        </w:rPr>
        <w:t>«______»__________________</w:t>
      </w:r>
    </w:p>
    <w:p>
      <w:pPr>
        <w:pStyle w:val="Normal"/>
        <w:ind w:left="5245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before="120" w:after="0"/>
        <w:ind w:right="680" w:hanging="0"/>
        <w:jc w:val="center"/>
        <w:rPr/>
      </w:pPr>
      <w:hyperlink r:id="rId2">
        <w:r>
          <w:rPr>
            <w:rStyle w:val="Hyperlink"/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kern w:val="2"/>
            <w:sz w:val="28"/>
            <w:szCs w:val="28"/>
            <w:u w:val="none"/>
            <w:shd w:fill="auto" w:val="clear"/>
            <w:em w:val="none"/>
            <w:lang w:val="ru-RU" w:eastAsia="ru-RU" w:bidi="ar-SA"/>
          </w:rPr>
          <w:t>ОКПД2 86.90.19.190. Оказание услуг по медосмотру работников, занятых на работах с вредными производственными факторами (периодические, внеочередные мед. осмотры) Саяно-Шушенского филиала АО "ТК РусГидро".</w:t>
        </w:r>
      </w:hyperlink>
    </w:p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hd w:fill="FFFFFF" w:val="clear"/>
        </w:rPr>
      </w:pPr>
      <w:r>
        <w:rPr>
          <w:i/>
          <w:shd w:fill="FFFFFF" w:val="clear"/>
        </w:rPr>
        <w:tab/>
      </w:r>
      <w:r>
        <w:rPr>
          <w:rFonts w:eastAsia="Calibri"/>
          <w:color w:val="000000"/>
          <w:sz w:val="28"/>
          <w:szCs w:val="28"/>
          <w:shd w:fill="auto" w:val="clear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46202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2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4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оказываемым услугам</w:t>
            </w:r>
            <w:r>
              <w:rPr>
                <w:rStyle w:val="Style14"/>
              </w:rPr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5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  <w:tab/>
            </w:r>
          </w:hyperlink>
          <w:r>
            <w:rPr/>
            <w:t>5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6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546203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3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_Toc125462039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25462040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  <w:b/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</w:rPr>
            <w:t>Таблица 4 . Требования к качеству услуг…………………………………………………………6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5462042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_Toc125462042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auto" w:line="360"/>
        <w:ind w:left="3686" w:hanging="284"/>
        <w:jc w:val="left"/>
        <w:rPr>
          <w:b/>
          <w:caps/>
        </w:rPr>
      </w:pPr>
      <w:bookmarkStart w:id="0" w:name="_Toc125462028"/>
      <w:r>
        <w:rPr>
          <w:b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1" w:name="_Toc125462029"/>
      <w:bookmarkStart w:id="2" w:name="_Toc46743505"/>
      <w:r>
        <w:rPr>
          <w:b/>
        </w:rPr>
        <w:t>Обозначения и сокращения</w:t>
      </w:r>
      <w:bookmarkEnd w:id="1"/>
      <w:bookmarkEnd w:id="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СШФ 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Саяно-Шушенский филиал 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color w:val="040C28"/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3" w:name="_Toc125462030"/>
      <w:bookmarkStart w:id="4" w:name="_Toc46743506"/>
      <w:r>
        <w:rPr>
          <w:b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</w:t>
      </w:r>
      <w:hyperlink r:id="rId3">
        <w:r>
          <w:rPr>
            <w:rStyle w:val="Hyperlink"/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outline w:val="false"/>
            <w:shadow w:val="false"/>
            <w:color w:val="000000"/>
            <w:spacing w:val="0"/>
            <w:kern w:val="2"/>
            <w:sz w:val="28"/>
            <w:szCs w:val="28"/>
            <w:u w:val="none"/>
            <w:shd w:fill="auto" w:val="clear"/>
            <w:em w:val="none"/>
            <w:lang w:val="ru-RU" w:eastAsia="ru-RU" w:bidi="ar-SA"/>
          </w:rPr>
          <w:t>ОКПД2 86.90.19.190. Оказание услуг по медосмотру работников, занятых на работах с вредными производственными факторами (периодические, внеочередные мед. осмотры) Саяно-Шушенского филиала АО "ТК РусГидро".</w:t>
        </w:r>
      </w:hyperlink>
      <w:r>
        <w:rPr>
          <w:rFonts w:eastAsia="Calibri"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ind w:left="0" w:hanging="0"/>
        <w:rPr>
          <w:b/>
        </w:rPr>
      </w:pPr>
      <w:bookmarkStart w:id="5" w:name="_Toc125462031"/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>оказания услуг</w:t>
      </w:r>
      <w:bookmarkEnd w:id="5"/>
      <w:r>
        <w:rPr>
          <w:b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   </w:t>
      </w:r>
      <w:r>
        <w:rPr>
          <w:rFonts w:eastAsia="Calibri"/>
          <w:bCs/>
          <w:color w:val="000000"/>
          <w:spacing w:val="-10"/>
          <w:sz w:val="24"/>
          <w:szCs w:val="24"/>
          <w:lang w:eastAsia="x-none"/>
        </w:rPr>
        <w:t>В  целях обеспечения соблюдения требований Приказ Минздрава России от 28.01.2021г.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на основании вредных и (или) опасных факторов и вида выполняемых работником работ.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8"/>
        <w:rPr>
          <w:color w:val="000000"/>
        </w:rPr>
      </w:pPr>
      <w:r>
        <w:rPr>
          <w:color w:val="000000"/>
          <w:spacing w:val="-10"/>
          <w:sz w:val="24"/>
          <w:szCs w:val="24"/>
        </w:rPr>
        <w:t xml:space="preserve">  </w:t>
      </w:r>
      <w:r>
        <w:rPr>
          <w:color w:val="000000"/>
          <w:spacing w:val="-10"/>
          <w:sz w:val="24"/>
          <w:szCs w:val="24"/>
        </w:rPr>
        <w:t xml:space="preserve">На основании требований  Приказа Минздрава РФ от 30.05.2023 N 266Н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-10"/>
          <w:sz w:val="24"/>
          <w:szCs w:val="24"/>
        </w:rPr>
        <w:t xml:space="preserve">"Об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исследований" </w:t>
      </w:r>
      <w:r>
        <w:rPr>
          <w:color w:val="000000"/>
          <w:spacing w:val="-10"/>
          <w:sz w:val="24"/>
          <w:szCs w:val="24"/>
        </w:rPr>
        <w:t>необходимо проведение ежегодного химико-токсикологического исследования на наличие в организме человека наркотических средств водителей автомобилей и машинистов спецтехники Саяно - Шушенского транспортного участка, Саяно - Шушенского филиала АО «ТК РусГидро», с целью определения их к допуску выполнения работ на транспорте по специальности (в должности).</w:t>
      </w:r>
    </w:p>
    <w:p>
      <w:pPr>
        <w:pStyle w:val="Normal"/>
        <w:jc w:val="both"/>
        <w:rPr>
          <w:color w:val="000000"/>
        </w:rPr>
      </w:pPr>
      <w:r>
        <w:rPr>
          <w:rFonts w:eastAsia="Calibri"/>
          <w:color w:val="000000"/>
          <w:spacing w:val="-10"/>
          <w:sz w:val="24"/>
          <w:szCs w:val="24"/>
          <w:lang w:eastAsia="x-none"/>
        </w:rPr>
        <w:t xml:space="preserve">   </w:t>
      </w:r>
      <w:r>
        <w:rPr>
          <w:rFonts w:eastAsia="Calibri"/>
          <w:color w:val="000000"/>
          <w:spacing w:val="-10"/>
          <w:sz w:val="24"/>
          <w:szCs w:val="24"/>
          <w:lang w:eastAsia="x-none"/>
        </w:rPr>
        <w:t>В</w:t>
      </w:r>
      <w:r>
        <w:rPr>
          <w:rFonts w:eastAsia="Calibri"/>
          <w:bCs/>
          <w:color w:val="000000"/>
          <w:spacing w:val="-2"/>
          <w:sz w:val="24"/>
          <w:szCs w:val="24"/>
          <w:lang w:eastAsia="x-none"/>
        </w:rPr>
        <w:t xml:space="preserve"> соответствии с требованиями Кодекса внутреннего водного транспорта Российской Федерации от 07.03.2001 № 24-ФЗ в части статьи 27 п.2, статьи 28 п.3.1 с целью динамического наблюдения за состоянием здоровья лиц допущенных к работе на судне и  отсутствии заболеваний препятствующих  работе на судне.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7" w:name="_Toc125462032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694"/>
        <w:gridCol w:w="2549"/>
        <w:gridCol w:w="2129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b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2"/>
                <w:szCs w:val="24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  <w:r>
              <w:rPr>
                <w:rFonts w:eastAsia="Calibri"/>
                <w:sz w:val="24"/>
                <w:szCs w:val="24"/>
                <w:lang w:eastAsia="x-none"/>
              </w:rPr>
              <w:b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 Хакасия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г.Саяногорск, р.п.Черёмушки, д.101.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>
          <w:rStyle w:val="Strong"/>
          <w:b w:val="false"/>
          <w:bCs/>
        </w:rPr>
      </w:pPr>
      <w:bookmarkStart w:id="8" w:name="_Hlk49857604"/>
      <w:bookmarkStart w:id="9" w:name="_Toc125462033"/>
      <w:bookmarkStart w:id="10" w:name="_Toc46743509"/>
      <w:r>
        <w:rPr>
          <w:b/>
        </w:rPr>
        <w:t xml:space="preserve">Информация в отношении исполнения договора, </w:t>
      </w:r>
      <w:bookmarkStart w:id="11" w:name="_Hlk46492347"/>
      <w:r>
        <w:rPr>
          <w:b/>
        </w:rPr>
        <w:t xml:space="preserve">которая должна быть учтена при подготовке заявки </w:t>
      </w:r>
      <w:bookmarkEnd w:id="11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8"/>
      <w:bookmarkEnd w:id="9"/>
      <w:bookmarkEnd w:id="10"/>
      <w:r>
        <w:rPr>
          <w:b/>
          <w:lang w:val="ru-RU"/>
        </w:rPr>
        <w:t xml:space="preserve"> </w:t>
      </w:r>
      <w:bookmarkStart w:id="12" w:name="_Hlk48209761"/>
    </w:p>
    <w:p>
      <w:pPr>
        <w:pStyle w:val="Heading3"/>
        <w:numPr>
          <w:ilvl w:val="2"/>
          <w:numId w:val="3"/>
        </w:numPr>
        <w:ind w:left="0" w:hanging="0"/>
        <w:rPr/>
      </w:pPr>
      <w:r>
        <w:rPr/>
        <w:t>Заказчик поручает и обязуется оплатить, а Исполнитель принимает на себя обязательства возмездного оказания услуг</w:t>
      </w:r>
      <w:r>
        <w:rPr>
          <w:lang w:val="ru-RU"/>
        </w:rPr>
        <w:t>.</w:t>
      </w:r>
      <w:r>
        <w:rPr/>
        <w:t xml:space="preserve"> </w:t>
      </w:r>
    </w:p>
    <w:p>
      <w:pPr>
        <w:pStyle w:val="Normal"/>
        <w:rPr>
          <w:rFonts w:eastAsia="Calibri"/>
          <w:lang w:val="x-none" w:eastAsia="x-none"/>
        </w:rPr>
      </w:pPr>
      <w:r>
        <w:rPr>
          <w:rFonts w:eastAsia="Calibri"/>
          <w:lang w:val="x-none" w:eastAsia="x-none"/>
        </w:rPr>
      </w:r>
    </w:p>
    <w:p>
      <w:pPr>
        <w:pStyle w:val="Heading1"/>
        <w:numPr>
          <w:ilvl w:val="0"/>
          <w:numId w:val="3"/>
        </w:numPr>
        <w:spacing w:lineRule="auto" w:line="360"/>
        <w:ind w:left="2835" w:hanging="283"/>
        <w:rPr>
          <w:b/>
          <w:sz w:val="24"/>
          <w:szCs w:val="24"/>
          <w:lang w:val="ru-RU"/>
        </w:rPr>
      </w:pPr>
      <w:bookmarkStart w:id="13" w:name="_Toc125462034"/>
      <w:bookmarkStart w:id="14" w:name="_Toc51339693"/>
      <w:bookmarkStart w:id="15" w:name="_Toc50125126"/>
      <w:bookmarkEnd w:id="12"/>
      <w:bookmarkEnd w:id="15"/>
      <w:r>
        <w:rPr>
          <w:b/>
          <w:sz w:val="24"/>
          <w:szCs w:val="24"/>
          <w:lang w:val="ru-RU"/>
        </w:rPr>
        <w:t>Требования</w:t>
      </w:r>
      <w:r>
        <w:rPr>
          <w:b/>
          <w:sz w:val="24"/>
          <w:szCs w:val="24"/>
        </w:rPr>
        <w:t xml:space="preserve"> </w:t>
      </w:r>
      <w:bookmarkEnd w:id="13"/>
      <w:bookmarkEnd w:id="14"/>
      <w:r>
        <w:rPr>
          <w:b/>
          <w:sz w:val="24"/>
          <w:szCs w:val="24"/>
          <w:lang w:val="ru-RU"/>
        </w:rPr>
        <w:t>к оказываемым услугам</w:t>
      </w: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16" w:name="_Toc125462035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spacing w:lineRule="auto" w:line="360"/>
        <w:ind w:left="0" w:hanging="0"/>
        <w:rPr/>
      </w:pPr>
      <w:bookmarkStart w:id="17" w:name="_Toc125462036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>
          <w:b/>
          <w:sz w:val="24"/>
          <w:szCs w:val="24"/>
        </w:rPr>
      </w:pPr>
      <w:bookmarkStart w:id="18" w:name="_Toc125462037"/>
      <w:bookmarkStart w:id="19" w:name="_Toc51339695"/>
      <w:r>
        <w:rPr>
          <w:b/>
          <w:sz w:val="24"/>
          <w:szCs w:val="24"/>
        </w:rPr>
        <w:t xml:space="preserve">Таблица 2. Перечень </w:t>
      </w:r>
      <w:bookmarkEnd w:id="19"/>
      <w:r>
        <w:rPr>
          <w:b/>
          <w:sz w:val="24"/>
          <w:szCs w:val="24"/>
        </w:rPr>
        <w:t>и объем оказываемых услуг</w:t>
      </w:r>
      <w:bookmarkEnd w:id="18"/>
    </w:p>
    <w:tbl>
      <w:tblPr>
        <w:tblW w:w="970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4"/>
        <w:gridCol w:w="5132"/>
        <w:gridCol w:w="1993"/>
        <w:gridCol w:w="2123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(</w:t>
            </w:r>
            <w:r>
              <w:rPr>
                <w:rFonts w:eastAsia="Calibri"/>
                <w:bCs/>
                <w:color w:val="000000"/>
                <w:spacing w:val="-10"/>
                <w:sz w:val="24"/>
                <w:szCs w:val="24"/>
                <w:shd w:fill="FFFFFF" w:val="clear"/>
                <w:lang w:eastAsia="x-none"/>
              </w:rPr>
              <w:t>Приказ Минздрава России от 28.01.2021г. № 29н</w:t>
            </w:r>
            <w:r>
              <w:rPr>
                <w:color w:val="000000"/>
                <w:sz w:val="24"/>
                <w:szCs w:val="24"/>
                <w:shd w:fill="FFFFFF" w:val="clear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очные химико-токсикологические исследования (ч. 11 ст. 46 Закона № 323-ФЗ в ред. 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ст. 1</w:t>
            </w:r>
            <w:r>
              <w:rPr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 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Закона № 629-ФЗ)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Ежегодный медицинский осмотр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(Приказ Минздрава России от 01.11.2022 N 714н)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100" w:after="100"/>
              <w:ind w:left="113" w:hanging="227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человек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20" w:name="_Toc125462038"/>
      <w:bookmarkStart w:id="21" w:name="_Toc51339696"/>
      <w:r>
        <w:rPr/>
        <w:t xml:space="preserve">Требования </w:t>
      </w:r>
      <w:bookmarkEnd w:id="21"/>
      <w:r>
        <w:rPr/>
        <w:t>к срокам оказания услуг</w:t>
      </w:r>
      <w:bookmarkEnd w:id="20"/>
    </w:p>
    <w:p>
      <w:pPr>
        <w:pStyle w:val="Heading1"/>
        <w:tabs>
          <w:tab w:val="clear" w:pos="0"/>
        </w:tabs>
        <w:rPr>
          <w:b/>
          <w:sz w:val="24"/>
          <w:szCs w:val="24"/>
          <w:lang w:val="ru-RU"/>
        </w:rPr>
      </w:pPr>
      <w:bookmarkStart w:id="22" w:name="_Toc125462039"/>
      <w:bookmarkStart w:id="23" w:name="_Toc50125127"/>
      <w:bookmarkStart w:id="24" w:name="_Toc51339697"/>
      <w:bookmarkStart w:id="25" w:name="_Toc501251261"/>
      <w:bookmarkEnd w:id="25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6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23"/>
      <w:bookmarkEnd w:id="24"/>
      <w:bookmarkEnd w:id="26"/>
      <w:r>
        <w:rPr>
          <w:b/>
          <w:sz w:val="24"/>
          <w:szCs w:val="24"/>
          <w:lang w:val="ru-RU"/>
        </w:rPr>
        <w:t>оказания услуг</w:t>
      </w:r>
      <w:bookmarkEnd w:id="22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57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sz w:val="24"/>
                <w:szCs w:val="24"/>
              </w:rPr>
            </w:pPr>
            <w:hyperlink r:id="rId4">
              <w:r>
                <w:rPr>
                  <w:rStyle w:val="Hyperlink"/>
                  <w:rFonts w:eastAsia="Times New Roman" w:cs="Times New Roman"/>
                  <w:b w:val="false"/>
                  <w:bCs w:val="false"/>
                  <w:i w:val="false"/>
                  <w:iCs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kern w:val="2"/>
                  <w:sz w:val="28"/>
                  <w:szCs w:val="28"/>
                  <w:u w:val="none"/>
                  <w:shd w:fill="auto" w:val="clear"/>
                  <w:em w:val="none"/>
                  <w:lang w:val="ru-RU" w:eastAsia="ru-RU" w:bidi="ar-SA"/>
                </w:rPr>
                <w:t>ОКПД2 86.90.19.190. Оказание услуг по медосмотру работников, занятых на работах с вредными производственными факторами (периодические, внеочередные мед. осмотры) Саяно-Шушенского филиала АО "ТК РусГидро".</w:t>
              </w:r>
            </w:hyperlink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7" w:name="_Toc46743510"/>
            <w:r>
              <w:rPr>
                <w:bCs/>
                <w:sz w:val="24"/>
                <w:szCs w:val="24"/>
              </w:rPr>
              <w:t>по 31.12.2027 г.</w:t>
            </w:r>
            <w:bookmarkEnd w:id="27"/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lineRule="auto" w:line="360"/>
        <w:ind w:left="0" w:hanging="0"/>
        <w:rPr>
          <w:b/>
        </w:rPr>
      </w:pPr>
      <w:bookmarkStart w:id="28" w:name="_Toc51339698"/>
      <w:bookmarkStart w:id="29" w:name="_Toc125462040"/>
      <w:bookmarkStart w:id="30" w:name="_Toc46743511"/>
      <w:r>
        <w:rPr>
          <w:b/>
        </w:rPr>
        <w:t xml:space="preserve">Требования к </w:t>
      </w:r>
      <w:bookmarkEnd w:id="30"/>
      <w:r>
        <w:rPr>
          <w:b/>
          <w:lang w:val="ru-RU"/>
        </w:rPr>
        <w:t>качеству услуг</w:t>
      </w:r>
      <w:bookmarkEnd w:id="29"/>
    </w:p>
    <w:p>
      <w:pPr>
        <w:pStyle w:val="Heading1"/>
        <w:tabs>
          <w:tab w:val="clear" w:pos="0"/>
        </w:tabs>
        <w:spacing w:lineRule="auto" w:line="360"/>
        <w:rPr>
          <w:rStyle w:val="Style8"/>
          <w:i w:val="false"/>
          <w:i w:val="false"/>
          <w:sz w:val="24"/>
          <w:szCs w:val="24"/>
          <w:shd w:fill="auto" w:val="clear"/>
        </w:rPr>
      </w:pPr>
      <w:bookmarkStart w:id="31" w:name="_Toc12546204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8"/>
      <w:r>
        <w:rPr>
          <w:b/>
          <w:sz w:val="24"/>
          <w:szCs w:val="24"/>
          <w:lang w:val="ru-RU"/>
        </w:rPr>
        <w:t>качеству услуг</w:t>
      </w:r>
      <w:bookmarkEnd w:id="31"/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: </w:t>
      </w:r>
      <w:r>
        <w:rPr>
          <w:bCs/>
          <w:color w:val="000000"/>
          <w:sz w:val="22"/>
          <w:szCs w:val="24"/>
          <w:shd w:fill="FFFFFF" w:val="clear"/>
        </w:rPr>
        <w:t>Медосмотр работников, занятых на работах с вредными производственными факторами (периодический, внеочередной мед. осмотры)</w:t>
      </w:r>
    </w:p>
    <w:tbl>
      <w:tblPr>
        <w:tblStyle w:val="affff6"/>
        <w:tblW w:w="14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1873"/>
        <w:gridCol w:w="7477"/>
        <w:gridCol w:w="2387"/>
        <w:gridCol w:w="1976"/>
      </w:tblGrid>
      <w:tr>
        <w:trPr>
          <w:trHeight w:val="563" w:hRule="atLeast"/>
        </w:trPr>
        <w:tc>
          <w:tcPr>
            <w:tcW w:w="73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73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477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63" w:type="dxa"/>
            <w:gridSpan w:val="2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738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873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7477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7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47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Соблюдение требований законодательства при оказании услуг</w:t>
            </w:r>
          </w:p>
        </w:tc>
        <w:tc>
          <w:tcPr>
            <w:tcW w:w="7477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в соответствии с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>Соблюдение требований законодательства при оказании услуг</w:t>
            </w:r>
          </w:p>
        </w:tc>
        <w:tc>
          <w:tcPr>
            <w:tcW w:w="7477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Участник должен обладать действующей лицензией на осуществление медицинской деятельности в соответствии с Федеральным законом от 04.05.2011 N 99-ФЗ "О лицензировании отдельных видов деятельности".</w:t>
            </w:r>
          </w:p>
        </w:tc>
        <w:tc>
          <w:tcPr>
            <w:tcW w:w="2387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-</w:t>
            </w:r>
          </w:p>
        </w:tc>
        <w:tc>
          <w:tcPr>
            <w:tcW w:w="19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лицензию на осуществление медицинской деятельности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shd w:fill="FFFFFF" w:val="clear"/>
                <w:lang w:val="ru-RU" w:eastAsia="ru-RU" w:bidi="ar-SA"/>
              </w:rPr>
              <w:t>Медосмотр работников, занятых на работах с вредными производственными факторами (периодический, внеочередной мед. осмотры)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проводится очно в помещении медицинской организации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ab/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br/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обязуется обеспечивать соблюдение режима врачебной тайны, конфиденциальность и безопасность персональных данных лиц, проходивших медицинские осмотры при их обработке, в соответствии с требованиями Федерального закона от 27.07.2006г. №152-ФЗ «О персональных данных».</w:t>
            </w:r>
          </w:p>
        </w:tc>
        <w:tc>
          <w:tcPr>
            <w:tcW w:w="2387" w:type="dxa"/>
            <w:tcBorders>
              <w:top w:val="nil"/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Исполнитель оказывает услуги согласно предоставленному Заказчиком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списку лиц, подлежащих периодическим и внеочередным  медицинским осмотрам.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проведении медосмотра использовать  оборудование и материалы соответствующие требованиям законодательства РФ, в</w:t>
            </w:r>
            <w:r>
              <w:rPr>
                <w:rFonts w:eastAsia="Calibri" w:cs="Times New Roman"/>
                <w:kern w:val="2"/>
                <w:sz w:val="24"/>
                <w:szCs w:val="24"/>
                <w:lang w:val="ru-RU" w:eastAsia="ru-RU" w:bidi="ar-SA"/>
              </w:rPr>
              <w:t>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3708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18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7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1.Наличие в штатном составе не менее одного врача-профпатолога, занимающего эту должность по штатному расписанию и имеющего первичную подготовку (диплом) в области профпатологии.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2.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Исполнитель должен располагать </w:t>
            </w: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:shd w:fill="FFFFFF" w:val="clear"/>
                <w:lang w:val="ru-RU" w:eastAsia="ru-RU" w:bidi="ar-SA"/>
              </w:rPr>
              <w:t>достаточным для оказания услуг количеством медицинских кадров, имеющих соответствующую специализацию (диплом и действующий сертификат специалиста), удостоверение о повышении квалификации или сертификат по специальности «Профпатология» (при наличии). Возглавлять врачебную комиссию должен врач-профпатолог (подтверждается действующим сертификатом по специальности «Профпатология» и лицензией Участника по профпатологии)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2290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873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7477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 окончании прохождения работником периодического осмотра оформить Заключение по его результатам в соответствии с пунктом 16 Приказа Министерства здравоохранения Российской Федерации от 28 января 2021 г. № 29н.</w:t>
            </w:r>
          </w:p>
          <w:p>
            <w:pPr>
              <w:pStyle w:val="Style36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результатам услуг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02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2563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Заключительный акт составляется в порядке, установленном 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утверждается председателем врачебной комиссии, заверяется печатью медицинской организации.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1112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112" w:hRule="atLeast"/>
        </w:trPr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ind w:left="0" w:right="-2" w:hanging="0"/>
              <w:jc w:val="both"/>
              <w:rPr>
                <w:rFonts w:eastAsia="Calibr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ar-SA"/>
              </w:rPr>
              <w:t>Соответствие требованиям Постановления Правительства РФ от 01.06.2021 N 852 (ред. от 08.05.2025)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00" w:leader="none"/>
              </w:tabs>
              <w:ind w:left="0" w:right="-2" w:hanging="0"/>
              <w:jc w:val="both"/>
              <w:rPr/>
            </w:pPr>
            <w:r>
              <w:rPr>
                <w:rFonts w:eastAsia="Calibri"/>
                <w:kern w:val="2"/>
                <w:sz w:val="22"/>
                <w:szCs w:val="22"/>
                <w:lang w:eastAsia="ar-SA"/>
              </w:rPr>
              <w:t xml:space="preserve">2.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ar-SA"/>
              </w:rPr>
              <w:t>Для сотрудников водной группы услуги, дополнительно,  должны быть оказаны в соответствии с Приказом Министерства здравоохранения России от 01.11.2022г. № 714н "Об утверждении Порядка проведения медицинского осмотра на наличие медицинских противопоказаний к работе на судне,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медицинского заключения об отсутствии медицинских противопоказаний к работе на судне».</w:t>
            </w:r>
          </w:p>
        </w:tc>
        <w:tc>
          <w:tcPr>
            <w:tcW w:w="2387" w:type="dxa"/>
            <w:tcBorders>
              <w:top w:val="nil"/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7" w:hanging="37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4.1</w:t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обладать гражданской правоспособностью в полном объеме для заключения и исполнения Договора;</w:t>
            </w:r>
          </w:p>
        </w:tc>
        <w:tc>
          <w:tcPr>
            <w:tcW w:w="2387" w:type="dxa"/>
            <w:tcBorders>
              <w:top w:val="nil"/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4.2</w:t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быть зарегистрирован в установленном порядке и находиться на налоговом учете в соответствии с требованиями Налогового кодекса РФ;</w:t>
            </w:r>
          </w:p>
        </w:tc>
        <w:tc>
          <w:tcPr>
            <w:tcW w:w="2387" w:type="dxa"/>
            <w:tcBorders>
              <w:top w:val="nil"/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4.3</w:t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не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2387" w:type="dxa"/>
            <w:tcBorders>
              <w:top w:val="nil"/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4.4</w:t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исполнять свои обязательства по уплате налогов, сборов и иных обязательных платежей;</w:t>
            </w:r>
          </w:p>
        </w:tc>
        <w:tc>
          <w:tcPr>
            <w:tcW w:w="2387" w:type="dxa"/>
            <w:tcBorders>
              <w:top w:val="nil"/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>
          <w:trHeight w:val="425" w:hRule="atLeast"/>
        </w:trPr>
        <w:tc>
          <w:tcPr>
            <w:tcW w:w="7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4.5</w:t>
            </w:r>
          </w:p>
        </w:tc>
        <w:tc>
          <w:tcPr>
            <w:tcW w:w="9350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не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2387" w:type="dxa"/>
            <w:tcBorders>
              <w:top w:val="nil"/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9350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 обязательствам,  влияющим на исполнение договора</w:t>
            </w:r>
          </w:p>
        </w:tc>
        <w:tc>
          <w:tcPr>
            <w:tcW w:w="2387" w:type="dxa"/>
            <w:tcBorders>
              <w:right w:val="nil"/>
            </w:tcBorders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hd w:fill="FFFFFF" w:val="clear"/>
                <w:lang w:val="ru-RU" w:eastAsia="ru-RU" w:bidi="ar-SA"/>
              </w:rPr>
              <w:t>-//-</w:t>
            </w:r>
          </w:p>
        </w:tc>
        <w:tc>
          <w:tcPr>
            <w:tcW w:w="1976" w:type="dxa"/>
            <w:tcBorders/>
            <w:vAlign w:val="center"/>
          </w:tcPr>
          <w:p>
            <w:pPr>
              <w:pStyle w:val="Western"/>
              <w:widowControl w:val="fals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kern w:val="0"/>
                <w:shd w:fill="FFFFFF" w:val="clear"/>
                <w:lang w:val="ru-RU" w:eastAsia="ru-RU" w:bidi="ar-SA"/>
              </w:rPr>
              <w:t>-//-</w:t>
            </w:r>
          </w:p>
        </w:tc>
      </w:tr>
      <w:tr>
        <w:trPr>
          <w:trHeight w:val="1312" w:hRule="atLeast"/>
        </w:trPr>
        <w:tc>
          <w:tcPr>
            <w:tcW w:w="7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5.1.1</w:t>
            </w:r>
          </w:p>
        </w:tc>
        <w:tc>
          <w:tcPr>
            <w:tcW w:w="935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лицензии, обучения, аттестации аккредитации испытательной лаборатории для  медицинского осмотра</w:t>
            </w:r>
          </w:p>
        </w:tc>
        <w:tc>
          <w:tcPr>
            <w:tcW w:w="2387" w:type="dxa"/>
            <w:tcBorders>
              <w:right w:val="nil"/>
            </w:tcBorders>
          </w:tcPr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Согласие с</w:t>
            </w:r>
          </w:p>
          <w:p>
            <w:pPr>
              <w:pStyle w:val="Western"/>
              <w:widowControl w:val="false"/>
              <w:spacing w:beforeAutospacing="0"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требованием</w:t>
            </w:r>
          </w:p>
        </w:tc>
        <w:tc>
          <w:tcPr>
            <w:tcW w:w="1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b/>
          <w:iCs/>
          <w:sz w:val="24"/>
          <w:szCs w:val="24"/>
          <w:shd w:fill="FFFF99" w:val="clear"/>
        </w:rPr>
      </w:pPr>
      <w:r>
        <w:rPr>
          <w:b/>
          <w:iCs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2552" w:leader="none"/>
        </w:tabs>
        <w:spacing w:lineRule="auto" w:line="360"/>
        <w:ind w:left="1276" w:hanging="283"/>
        <w:jc w:val="left"/>
        <w:rPr>
          <w:b/>
          <w:sz w:val="24"/>
          <w:szCs w:val="24"/>
        </w:rPr>
      </w:pPr>
      <w:bookmarkStart w:id="32" w:name="_Toc125462042"/>
      <w:bookmarkStart w:id="33" w:name="_Toc53393312"/>
      <w:bookmarkStart w:id="34" w:name="_Toc53395937"/>
      <w:bookmarkStart w:id="35" w:name="_Toc46743519"/>
      <w:bookmarkStart w:id="36" w:name="_Toc51339699"/>
      <w:bookmarkEnd w:id="35"/>
      <w:bookmarkEnd w:id="36"/>
      <w:r>
        <w:rPr>
          <w:b/>
          <w:sz w:val="24"/>
          <w:szCs w:val="24"/>
        </w:rPr>
        <w:t>Требования к документации по ценообразованию</w:t>
      </w:r>
      <w:bookmarkEnd w:id="33"/>
      <w:bookmarkEnd w:id="34"/>
      <w:r>
        <w:rPr>
          <w:b/>
          <w:sz w:val="24"/>
          <w:szCs w:val="24"/>
        </w:rPr>
        <w:t xml:space="preserve"> на этапе закупки</w:t>
      </w:r>
      <w:bookmarkEnd w:id="32"/>
    </w:p>
    <w:p>
      <w:pPr>
        <w:pStyle w:val="NoSpacing"/>
        <w:spacing w:lineRule="auto" w:line="240"/>
        <w:jc w:val="both"/>
        <w:rPr>
          <w:bCs/>
        </w:rPr>
      </w:pPr>
      <w:r>
        <w:rPr/>
        <w:t xml:space="preserve">3.1. </w:t>
      </w:r>
      <w:r>
        <w:rPr>
          <w:rFonts w:eastAsia="Calibri"/>
          <w:sz w:val="24"/>
          <w:szCs w:val="24"/>
        </w:rPr>
        <w:t>В обоснование стоимости своей заявки Участник предоставляет Коммерческое предложение с указанием наименования и количества обследований/исследований.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3.2.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left="0" w:right="-2" w:hanging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3.3.</w:t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tabs>
          <w:tab w:val="clear" w:pos="708"/>
          <w:tab w:val="left" w:pos="284" w:leader="none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4"/>
          <w:szCs w:val="24"/>
        </w:rPr>
        <w:t>4.</w:t>
        <w:tab/>
        <w:t>Требования к документации по ценообразованию на этапе заключения (исполнения) договора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4.1.</w:t>
        <w:tab/>
        <w:t xml:space="preserve">В итоговый расчет стоимости оказания услуг должны быть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проведения работ.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4.2.</w:t>
        <w:tab/>
        <w:t>Стоимость 1 (одной) единицы услуг остается неизменной в течение всего срока действия договора.</w:t>
      </w:r>
    </w:p>
    <w:p>
      <w:pPr>
        <w:pStyle w:val="NoSpacing"/>
        <w:spacing w:lineRule="auto" w:line="240"/>
        <w:jc w:val="both"/>
        <w:rPr>
          <w:bCs/>
        </w:rPr>
      </w:pPr>
      <w:r>
        <w:rPr>
          <w:rFonts w:eastAsia="Calibri"/>
          <w:b/>
          <w:bCs/>
          <w:sz w:val="24"/>
          <w:szCs w:val="24"/>
        </w:rPr>
        <w:t>4.3.</w:t>
        <w:tab/>
      </w:r>
      <w:r>
        <w:rPr>
          <w:rFonts w:eastAsia="Calibri"/>
          <w:b w:val="false"/>
          <w:bCs w:val="false"/>
          <w:sz w:val="24"/>
          <w:szCs w:val="24"/>
        </w:rPr>
        <w:t>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NoSpacing"/>
        <w:jc w:val="both"/>
        <w:rPr>
          <w:bCs/>
        </w:rPr>
      </w:pPr>
      <w:r>
        <w:rPr>
          <w:bCs/>
        </w:rPr>
      </w:r>
      <w:bookmarkStart w:id="37" w:name="_Toc467435191"/>
      <w:bookmarkStart w:id="38" w:name="_Toc513396991"/>
      <w:bookmarkStart w:id="39" w:name="_Toc467435191"/>
      <w:bookmarkStart w:id="40" w:name="_Toc513396991"/>
      <w:bookmarkEnd w:id="39"/>
      <w:bookmarkEnd w:id="40"/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  <w:t xml:space="preserve">       </w:t>
      </w:r>
      <w:r>
        <w:rPr>
          <w:bCs/>
        </w:rPr>
        <w:t xml:space="preserve">Инженер ГОТиТБ                                                                     </w:t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Cs/>
        </w:rPr>
      </w:pPr>
      <w:r>
        <w:rPr>
          <w:bCs/>
        </w:rPr>
      </w:r>
    </w:p>
    <w:p>
      <w:pPr>
        <w:pStyle w:val="NoSpacing"/>
        <w:spacing w:lineRule="auto" w:line="240"/>
        <w:jc w:val="both"/>
        <w:rPr>
          <w:b/>
          <w:iCs/>
          <w:caps/>
          <w:lang w:val="x-none" w:eastAsia="x-none"/>
        </w:rPr>
      </w:pPr>
      <w:r>
        <w:rPr/>
      </w:r>
    </w:p>
    <w:sectPr>
      <w:headerReference w:type="default" r:id="rId10"/>
      <w:headerReference w:type="first" r:id="rId11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03b7e"/>
    <w:pPr>
      <w:keepNext w:val="true"/>
      <w:tabs>
        <w:tab w:val="clear" w:pos="708"/>
        <w:tab w:val="left" w:pos="0" w:leader="none"/>
      </w:tabs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03b7e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4" w:customStyle="1">
    <w:name w:val="Номер строки1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1245d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9c53d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119"/>
    </w:pPr>
    <w:rPr>
      <w:color w:val="000000"/>
    </w:rPr>
  </w:style>
  <w:style w:type="paragraph" w:styleId="Style3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bt.rushydro.ru/Planning/Program/View/365792?returnUrl=%2FPlanning%2FProgram%2FIndex_all%3Fnotnull%3DTrue%26page%3D1%26pageSize%3D50%26Filter.Index%3D4038%26Filter.UserOrganizationType%3D10%26Filter.ExtendedFilterOpened%3DFalse%26Filter.UserOrganizationType%3D10%26Filter.tabIndex%3D0" TargetMode="External"/><Relationship Id="rId3" Type="http://schemas.openxmlformats.org/officeDocument/2006/relationships/hyperlink" Target="https://nbt.rushydro.ru/Planning/Program/View/365792?returnUrl=%2FPlanning%2FProgram%2FIndex_all%3Fnotnull%3DTrue%26page%3D1%26pageSize%3D50%26Filter.Index%3D4038%26Filter.UserOrganizationType%3D10%26Filter.ExtendedFilterOpened%3DFalse%26Filter.UserOrganizationType%3D10%26Filter.tabIndex%3D0" TargetMode="External"/><Relationship Id="rId4" Type="http://schemas.openxmlformats.org/officeDocument/2006/relationships/hyperlink" Target="https://nbt.rushydro.ru/Planning/Program/View/365792?returnUrl=%2FPlanning%2FProgram%2FIndex_all%3Fnotnull%3DTrue%26page%3D1%26pageSize%3D50%26Filter.Index%3D4038%26Filter.UserOrganizationType%3D10%26Filter.ExtendedFilterOpened%3DFalse%26Filter.UserOrganizationType%3D10%26Filter.tabIndex%3D0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38EB4-8916-4176-9F3F-7F8B7A30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AlterOffice/3.4.0.9$Linux_X86_64 LibreOffice_project/b8daf9e823b1a5463a2f48435ddc2e8696e7d4fc</Application>
  <AppVersion>15.0000</AppVersion>
  <Pages>11</Pages>
  <Words>1779</Words>
  <Characters>12340</Characters>
  <CharactersWithSpaces>13959</CharactersWithSpaces>
  <Paragraphs>275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2023-04-19T06:52:00Z</dcterms:created>
  <dc:creator>Быстров Олег Геннадьевич</dc:creator>
  <dc:description/>
  <dc:language>ru-RU</dc:language>
  <cp:lastModifiedBy>kononkovas@corp.gidroogk.com</cp:lastModifiedBy>
  <cp:lastPrinted>2025-09-10T10:54:45Z</cp:lastPrinted>
  <dcterms:modified xsi:type="dcterms:W3CDTF">2026-05-21T12:14:03Z</dcterms:modified>
  <cp:revision>40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