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DB08EB"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236263">
              <w:rPr>
                <w:rFonts w:ascii="Times New Roman" w:hAnsi="Times New Roman"/>
                <w:iCs/>
                <w:color w:val="000000"/>
              </w:rPr>
              <w:t>Калининградской</w:t>
            </w:r>
            <w:r w:rsidR="0014797C">
              <w:rPr>
                <w:rFonts w:ascii="Times New Roman" w:hAnsi="Times New Roman"/>
                <w:iCs/>
                <w:color w:val="000000"/>
              </w:rPr>
              <w:t xml:space="preserve"> области</w:t>
            </w:r>
            <w:r w:rsidR="001A7D56">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14797C">
            <w:pPr>
              <w:spacing w:after="0" w:line="240" w:lineRule="auto"/>
              <w:jc w:val="both"/>
              <w:rPr>
                <w:rFonts w:ascii="Times New Roman" w:hAnsi="Times New Roman"/>
                <w:i/>
                <w:color w:val="FF0000"/>
              </w:rPr>
            </w:pPr>
            <w:r>
              <w:rPr>
                <w:rFonts w:ascii="Times New Roman" w:hAnsi="Times New Roman"/>
                <w:b/>
              </w:rPr>
              <w:lastRenderedPageBreak/>
              <w:t>1 (один</w:t>
            </w:r>
            <w:r w:rsidR="00BD4499" w:rsidRPr="00BD4499">
              <w:rPr>
                <w:rFonts w:ascii="Times New Roman" w:hAnsi="Times New Roman"/>
                <w:b/>
              </w:rPr>
              <w:t>)</w:t>
            </w:r>
            <w:r w:rsidR="00BD4499">
              <w:rPr>
                <w:rFonts w:ascii="Times New Roman" w:hAnsi="Times New Roman"/>
              </w:rPr>
              <w:t xml:space="preserve"> подрядчик</w:t>
            </w:r>
            <w:r w:rsidR="00A44259">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236263">
              <w:rPr>
                <w:color w:val="000000" w:themeColor="text1"/>
                <w:sz w:val="22"/>
                <w:szCs w:val="22"/>
              </w:rPr>
              <w:t>2 281 200</w:t>
            </w:r>
            <w:r w:rsidR="001A7D56" w:rsidRPr="001A7D56">
              <w:rPr>
                <w:color w:val="000000" w:themeColor="text1"/>
                <w:sz w:val="22"/>
                <w:szCs w:val="22"/>
              </w:rPr>
              <w:t>,00</w:t>
            </w:r>
            <w:r>
              <w:rPr>
                <w:color w:val="000000" w:themeColor="text1"/>
                <w:sz w:val="22"/>
                <w:szCs w:val="22"/>
              </w:rPr>
              <w:t xml:space="preserve"> (</w:t>
            </w:r>
            <w:r w:rsidR="00236263">
              <w:rPr>
                <w:color w:val="000000" w:themeColor="text1"/>
                <w:sz w:val="22"/>
                <w:szCs w:val="22"/>
              </w:rPr>
              <w:t>два</w:t>
            </w:r>
            <w:r w:rsidR="001A7D56">
              <w:rPr>
                <w:color w:val="000000" w:themeColor="text1"/>
                <w:sz w:val="22"/>
                <w:szCs w:val="22"/>
              </w:rPr>
              <w:t xml:space="preserve"> миллиона</w:t>
            </w:r>
            <w:r w:rsidRPr="00BD4499">
              <w:rPr>
                <w:color w:val="000000" w:themeColor="text1"/>
                <w:sz w:val="22"/>
                <w:szCs w:val="22"/>
              </w:rPr>
              <w:t xml:space="preserve"> </w:t>
            </w:r>
            <w:r w:rsidR="00236263">
              <w:rPr>
                <w:color w:val="000000" w:themeColor="text1"/>
                <w:sz w:val="22"/>
                <w:szCs w:val="22"/>
              </w:rPr>
              <w:t>двести восемьдесят одна</w:t>
            </w:r>
            <w:r w:rsidR="0014797C">
              <w:rPr>
                <w:color w:val="000000" w:themeColor="text1"/>
                <w:sz w:val="22"/>
                <w:szCs w:val="22"/>
              </w:rPr>
              <w:t xml:space="preserve"> тысяч</w:t>
            </w:r>
            <w:r w:rsidR="00236263">
              <w:rPr>
                <w:color w:val="000000" w:themeColor="text1"/>
                <w:sz w:val="22"/>
                <w:szCs w:val="22"/>
              </w:rPr>
              <w:t>а двести</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236263" w:rsidRPr="00236263">
                    <w:rPr>
                      <w:rFonts w:ascii="Times New Roman" w:hAnsi="Times New Roman"/>
                      <w:color w:val="000000"/>
                    </w:rPr>
                    <w:t>32615707775</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236263" w:rsidRPr="00236263">
                    <w:rPr>
                      <w:rFonts w:ascii="Times New Roman" w:hAnsi="Times New Roman"/>
                      <w:color w:val="000000"/>
                    </w:rPr>
                    <w:t>32615707775</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6-01T00:00:00Z">
                  <w:dateFormat w:val="«dd» MMMM yyyy 'года'"/>
                  <w:lid w:val="ru-RU"/>
                  <w:storeMappedDataAs w:val="dateTime"/>
                  <w:calendar w:val="gregorian"/>
                </w:date>
              </w:sdtPr>
              <w:sdtEndPr/>
              <w:sdtContent>
                <w:r w:rsidR="00DB08EB">
                  <w:rPr>
                    <w:b/>
                  </w:rPr>
                  <w:t>«01»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w:t>
            </w:r>
            <w:bookmarkStart w:id="6" w:name="_GoBack"/>
            <w:bookmarkEnd w:id="6"/>
            <w:r>
              <w:rPr>
                <w:rFonts w:ascii="Times New Roman" w:hAnsi="Times New Roman"/>
                <w:shd w:val="clear" w:color="auto" w:fill="FFFFFF"/>
              </w:rPr>
              <w:t>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DB08EB">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8.85pt;height:45.1pt" o:ole="">
            <v:imagedata r:id="rId15" o:title=""/>
          </v:shape>
          <o:OLEObject Type="Embed" ProgID="Word.Document.12" ShapeID="_x0000_i1025" DrawAspect="Icon" ObjectID="_1840882413"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B08EB">
          <w:rPr>
            <w:rFonts w:ascii="Times New Roman" w:hAnsi="Times New Roman"/>
            <w:noProof/>
            <w:sz w:val="24"/>
            <w:szCs w:val="24"/>
          </w:rPr>
          <w:t>11</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236263"/>
    <w:rsid w:val="00321C01"/>
    <w:rsid w:val="0045217D"/>
    <w:rsid w:val="00741F9C"/>
    <w:rsid w:val="00747429"/>
    <w:rsid w:val="007D73D7"/>
    <w:rsid w:val="00A44259"/>
    <w:rsid w:val="00B9395A"/>
    <w:rsid w:val="00BD4499"/>
    <w:rsid w:val="00D1517D"/>
    <w:rsid w:val="00DB08EB"/>
    <w:rsid w:val="00E123EB"/>
    <w:rsid w:val="00E824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C87E-D3FC-4005-94F7-3AD4189B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3541</Words>
  <Characters>20185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43</cp:revision>
  <cp:lastPrinted>2022-02-03T01:48:00Z</cp:lastPrinted>
  <dcterms:created xsi:type="dcterms:W3CDTF">2024-04-11T12:52:00Z</dcterms:created>
  <dcterms:modified xsi:type="dcterms:W3CDTF">2026-05-21T08:27:00Z</dcterms:modified>
  <dc:language>ru-RU</dc:language>
</cp:coreProperties>
</file>