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71B1C"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47A7E859" w14:textId="1FDEB589"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t xml:space="preserve">на выполнение работ по сносу </w:t>
      </w:r>
      <w:r w:rsidRPr="00E22B72">
        <w:rPr>
          <w:rFonts w:ascii="Times New Roman" w:hAnsi="Times New Roman" w:cs="Times New Roman"/>
          <w:b/>
          <w:sz w:val="20"/>
          <w:szCs w:val="20"/>
          <w:lang w:eastAsia="ru-RU"/>
        </w:rPr>
        <w:t>объекта капитального строительства</w:t>
      </w:r>
      <w:r w:rsidRPr="00E22B72">
        <w:rPr>
          <w:rFonts w:ascii="Times New Roman" w:hAnsi="Times New Roman" w:cs="Times New Roman"/>
          <w:b/>
          <w:sz w:val="20"/>
          <w:szCs w:val="20"/>
        </w:rPr>
        <w:t xml:space="preserve">, </w:t>
      </w:r>
      <w:r w:rsidR="007821A6">
        <w:rPr>
          <w:rFonts w:ascii="Times New Roman" w:hAnsi="Times New Roman" w:cs="Times New Roman"/>
          <w:b/>
          <w:sz w:val="20"/>
          <w:szCs w:val="20"/>
        </w:rPr>
        <w:t xml:space="preserve">расположенного по адресу: </w:t>
      </w:r>
      <w:r w:rsidR="007C1866" w:rsidRPr="007C1866">
        <w:rPr>
          <w:rFonts w:ascii="Times New Roman" w:hAnsi="Times New Roman" w:cs="Times New Roman"/>
          <w:b/>
          <w:sz w:val="20"/>
          <w:szCs w:val="20"/>
        </w:rPr>
        <w:t xml:space="preserve">160533, расположенного по адресу: </w:t>
      </w:r>
      <w:r w:rsidR="007C1866">
        <w:rPr>
          <w:rFonts w:ascii="Times New Roman" w:hAnsi="Times New Roman" w:cs="Times New Roman"/>
          <w:b/>
          <w:sz w:val="20"/>
          <w:szCs w:val="20"/>
        </w:rPr>
        <w:t>Волого</w:t>
      </w:r>
      <w:bookmarkStart w:id="0" w:name="_GoBack"/>
      <w:bookmarkEnd w:id="0"/>
      <w:r w:rsidR="007C1866">
        <w:rPr>
          <w:rFonts w:ascii="Times New Roman" w:hAnsi="Times New Roman" w:cs="Times New Roman"/>
          <w:b/>
          <w:sz w:val="20"/>
          <w:szCs w:val="20"/>
        </w:rPr>
        <w:t xml:space="preserve">дская область, </w:t>
      </w:r>
      <w:r w:rsidR="007C1866" w:rsidRPr="007C1866">
        <w:rPr>
          <w:rFonts w:ascii="Times New Roman" w:hAnsi="Times New Roman" w:cs="Times New Roman"/>
          <w:b/>
          <w:sz w:val="20"/>
          <w:szCs w:val="20"/>
        </w:rPr>
        <w:t>Вологодский р-он, с. Кубенское, ул.</w:t>
      </w:r>
      <w:r w:rsidR="007C1866">
        <w:rPr>
          <w:rFonts w:ascii="Times New Roman" w:hAnsi="Times New Roman" w:cs="Times New Roman"/>
          <w:b/>
          <w:sz w:val="20"/>
          <w:szCs w:val="20"/>
        </w:rPr>
        <w:t xml:space="preserve"> </w:t>
      </w:r>
      <w:r w:rsidR="007C1866" w:rsidRPr="007C1866">
        <w:rPr>
          <w:rFonts w:ascii="Times New Roman" w:hAnsi="Times New Roman" w:cs="Times New Roman"/>
          <w:b/>
          <w:sz w:val="20"/>
          <w:szCs w:val="20"/>
        </w:rPr>
        <w:t>Ленина, д. 56 для нужд УФПС Вологодской области</w:t>
      </w:r>
    </w:p>
    <w:p w14:paraId="0F897CBF"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288359C5" w14:textId="77777777" w:rsidR="00E22B72" w:rsidRPr="00E22B72"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E22B72" w14:paraId="4E267708" w14:textId="77777777" w:rsidTr="00CC6CE6">
        <w:tc>
          <w:tcPr>
            <w:tcW w:w="696" w:type="dxa"/>
          </w:tcPr>
          <w:p w14:paraId="52179EC0"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6F3210D3"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721" w:type="dxa"/>
          </w:tcPr>
          <w:p w14:paraId="6EBC7020"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9282B5E" w14:textId="77777777" w:rsidTr="00CC6CE6">
        <w:tc>
          <w:tcPr>
            <w:tcW w:w="696" w:type="dxa"/>
          </w:tcPr>
          <w:p w14:paraId="34B14E0A"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110BB133"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721" w:type="dxa"/>
          </w:tcPr>
          <w:p w14:paraId="0899A3A8"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7943BE9C" w14:textId="77777777" w:rsidTr="00CC6CE6">
        <w:tc>
          <w:tcPr>
            <w:tcW w:w="696" w:type="dxa"/>
          </w:tcPr>
          <w:p w14:paraId="651465A0"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5A8B98F8"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387846E0"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14B98780" w14:textId="77777777" w:rsidTr="00CC6CE6">
        <w:tc>
          <w:tcPr>
            <w:tcW w:w="696" w:type="dxa"/>
          </w:tcPr>
          <w:p w14:paraId="36F47290"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5ADBDCF2"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721" w:type="dxa"/>
          </w:tcPr>
          <w:p w14:paraId="3FB81990" w14:textId="77777777" w:rsidR="00E22B72" w:rsidRPr="007821A6" w:rsidRDefault="007C1866" w:rsidP="00E22B72">
            <w:pPr>
              <w:contextualSpacing/>
              <w:jc w:val="both"/>
              <w:rPr>
                <w:rFonts w:ascii="Times New Roman" w:hAnsi="Times New Roman" w:cs="Times New Roman"/>
                <w:sz w:val="20"/>
                <w:szCs w:val="20"/>
              </w:rPr>
            </w:pPr>
            <w:r>
              <w:rPr>
                <w:rFonts w:ascii="Times New Roman" w:hAnsi="Times New Roman" w:cs="Times New Roman"/>
                <w:sz w:val="20"/>
                <w:szCs w:val="20"/>
              </w:rPr>
              <w:t>160533</w:t>
            </w:r>
            <w:r w:rsidR="007821A6" w:rsidRPr="007821A6">
              <w:rPr>
                <w:rFonts w:ascii="Times New Roman" w:hAnsi="Times New Roman" w:cs="Times New Roman"/>
                <w:sz w:val="20"/>
                <w:szCs w:val="20"/>
              </w:rPr>
              <w:t xml:space="preserve">, </w:t>
            </w:r>
            <w:r w:rsidRPr="007C1866">
              <w:rPr>
                <w:rFonts w:ascii="Times New Roman" w:hAnsi="Times New Roman" w:cs="Times New Roman"/>
                <w:sz w:val="20"/>
                <w:szCs w:val="20"/>
              </w:rPr>
              <w:t>Вологодская область,</w:t>
            </w:r>
            <w:r>
              <w:rPr>
                <w:rFonts w:ascii="Times New Roman" w:hAnsi="Times New Roman" w:cs="Times New Roman"/>
                <w:b/>
                <w:sz w:val="20"/>
                <w:szCs w:val="20"/>
              </w:rPr>
              <w:t xml:space="preserve"> </w:t>
            </w:r>
            <w:r w:rsidRPr="007C1866">
              <w:rPr>
                <w:rFonts w:ascii="Times New Roman" w:hAnsi="Times New Roman" w:cs="Times New Roman"/>
                <w:sz w:val="20"/>
                <w:szCs w:val="20"/>
              </w:rPr>
              <w:t>Вологодский р-он, с. Кубенское, ул. Ленина, д. 56</w:t>
            </w:r>
          </w:p>
        </w:tc>
      </w:tr>
      <w:tr w:rsidR="00E22B72" w:rsidRPr="00E22B72" w14:paraId="505DDDF0" w14:textId="77777777" w:rsidTr="00CC6CE6">
        <w:tc>
          <w:tcPr>
            <w:tcW w:w="696" w:type="dxa"/>
          </w:tcPr>
          <w:p w14:paraId="2C8FF95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2A5D4F28"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721" w:type="dxa"/>
          </w:tcPr>
          <w:p w14:paraId="58B26F1F"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53FA383A" w14:textId="77777777" w:rsidTr="00CC6CE6">
        <w:tc>
          <w:tcPr>
            <w:tcW w:w="696" w:type="dxa"/>
          </w:tcPr>
          <w:p w14:paraId="3C182CA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6771004"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721" w:type="dxa"/>
          </w:tcPr>
          <w:p w14:paraId="20AE2626"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5CB1AAD5" w14:textId="77777777" w:rsidTr="00CC6CE6">
        <w:tc>
          <w:tcPr>
            <w:tcW w:w="696" w:type="dxa"/>
          </w:tcPr>
          <w:p w14:paraId="414BDA4B"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6024531"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721" w:type="dxa"/>
          </w:tcPr>
          <w:p w14:paraId="70252963"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30F15391" w14:textId="77777777" w:rsidTr="00CC6CE6">
        <w:tc>
          <w:tcPr>
            <w:tcW w:w="696" w:type="dxa"/>
          </w:tcPr>
          <w:p w14:paraId="26F38E90"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68B0F457"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721" w:type="dxa"/>
          </w:tcPr>
          <w:p w14:paraId="679A9920" w14:textId="77777777" w:rsidR="00E22B72" w:rsidRPr="00E22B72" w:rsidRDefault="00E22B72" w:rsidP="00E22B72">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bl>
    <w:p w14:paraId="351FAD94"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1B52E0AF" w14:textId="77777777" w:rsidR="00E22B72" w:rsidRPr="00E22B72"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НАИМЕНОВАНИЕ ВЫПОЛНЯЕМЫХ РАБОТ</w:t>
      </w:r>
    </w:p>
    <w:p w14:paraId="55824BDA"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7C1866">
        <w:rPr>
          <w:rFonts w:ascii="Times New Roman" w:hAnsi="Times New Roman" w:cs="Times New Roman"/>
          <w:sz w:val="20"/>
          <w:szCs w:val="20"/>
        </w:rPr>
        <w:t>160533</w:t>
      </w:r>
      <w:r w:rsidR="007C1866" w:rsidRPr="007821A6">
        <w:rPr>
          <w:rFonts w:ascii="Times New Roman" w:hAnsi="Times New Roman" w:cs="Times New Roman"/>
          <w:sz w:val="20"/>
          <w:szCs w:val="20"/>
        </w:rPr>
        <w:t xml:space="preserve">, </w:t>
      </w:r>
      <w:r w:rsidR="007C1866" w:rsidRPr="007C1866">
        <w:rPr>
          <w:rFonts w:ascii="Times New Roman" w:hAnsi="Times New Roman" w:cs="Times New Roman"/>
          <w:sz w:val="20"/>
          <w:szCs w:val="20"/>
        </w:rPr>
        <w:t>Вологодская область,</w:t>
      </w:r>
      <w:r w:rsidR="007C1866">
        <w:rPr>
          <w:rFonts w:ascii="Times New Roman" w:hAnsi="Times New Roman" w:cs="Times New Roman"/>
          <w:b/>
          <w:sz w:val="20"/>
          <w:szCs w:val="20"/>
        </w:rPr>
        <w:t xml:space="preserve"> </w:t>
      </w:r>
      <w:r w:rsidR="007C1866" w:rsidRPr="007C1866">
        <w:rPr>
          <w:rFonts w:ascii="Times New Roman" w:hAnsi="Times New Roman" w:cs="Times New Roman"/>
          <w:sz w:val="20"/>
          <w:szCs w:val="20"/>
        </w:rPr>
        <w:t>Вологодский р-он, с. Кубенское, ул. Ленина, д. 56</w:t>
      </w:r>
      <w:r w:rsidRPr="00E22B72">
        <w:rPr>
          <w:rFonts w:ascii="Times New Roman" w:hAnsi="Times New Roman" w:cs="Times New Roman"/>
          <w:sz w:val="20"/>
          <w:szCs w:val="20"/>
        </w:rPr>
        <w:t>.</w:t>
      </w:r>
    </w:p>
    <w:p w14:paraId="02A4BF78"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055206D6" w14:textId="77777777" w:rsidR="00E22B72" w:rsidRPr="00E22B72" w:rsidRDefault="00E22B72"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ОПИСАНИЕ РАБОТ, ЦЕЛЬ И ЗАДАЧИ</w:t>
      </w:r>
    </w:p>
    <w:p w14:paraId="36DCE19D" w14:textId="77777777" w:rsidR="00E22B72" w:rsidRPr="00E22B72"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 xml:space="preserve">Общие положения </w:t>
      </w:r>
    </w:p>
    <w:p w14:paraId="52C81266"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7C1866">
        <w:rPr>
          <w:rFonts w:ascii="Times New Roman" w:hAnsi="Times New Roman" w:cs="Times New Roman"/>
          <w:sz w:val="20"/>
          <w:szCs w:val="20"/>
        </w:rPr>
        <w:t>160533</w:t>
      </w:r>
      <w:r w:rsidR="007C1866" w:rsidRPr="007821A6">
        <w:rPr>
          <w:rFonts w:ascii="Times New Roman" w:hAnsi="Times New Roman" w:cs="Times New Roman"/>
          <w:sz w:val="20"/>
          <w:szCs w:val="20"/>
        </w:rPr>
        <w:t xml:space="preserve">, </w:t>
      </w:r>
      <w:r w:rsidR="007C1866" w:rsidRPr="007C1866">
        <w:rPr>
          <w:rFonts w:ascii="Times New Roman" w:hAnsi="Times New Roman" w:cs="Times New Roman"/>
          <w:sz w:val="20"/>
          <w:szCs w:val="20"/>
        </w:rPr>
        <w:t>Вологодская область,</w:t>
      </w:r>
      <w:r w:rsidR="007C1866">
        <w:rPr>
          <w:rFonts w:ascii="Times New Roman" w:hAnsi="Times New Roman" w:cs="Times New Roman"/>
          <w:b/>
          <w:sz w:val="20"/>
          <w:szCs w:val="20"/>
        </w:rPr>
        <w:t xml:space="preserve"> </w:t>
      </w:r>
      <w:r w:rsidR="007C1866" w:rsidRPr="007C1866">
        <w:rPr>
          <w:rFonts w:ascii="Times New Roman" w:hAnsi="Times New Roman" w:cs="Times New Roman"/>
          <w:sz w:val="20"/>
          <w:szCs w:val="20"/>
        </w:rPr>
        <w:t>Вологодский р-он, с. Кубенское, ул. Ленина, д. 56</w:t>
      </w:r>
      <w:r w:rsidR="007C1866">
        <w:rPr>
          <w:rFonts w:ascii="Times New Roman" w:hAnsi="Times New Roman" w:cs="Times New Roman"/>
          <w:sz w:val="20"/>
          <w:szCs w:val="20"/>
        </w:rPr>
        <w:t xml:space="preserve"> </w:t>
      </w:r>
      <w:r w:rsidRPr="00E22B72">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6076C3D2" w14:textId="77777777" w:rsidR="00E22B72" w:rsidRPr="00E22B72" w:rsidRDefault="00E22B72" w:rsidP="00E22B72">
      <w:pPr>
        <w:numPr>
          <w:ilvl w:val="0"/>
          <w:numId w:val="3"/>
        </w:numPr>
        <w:tabs>
          <w:tab w:val="left" w:pos="851"/>
          <w:tab w:val="left" w:pos="993"/>
        </w:tabs>
        <w:spacing w:after="0" w:line="240" w:lineRule="auto"/>
        <w:ind w:firstLine="567"/>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4743374A"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назначение Объекта: ОПС</w:t>
      </w:r>
      <w:r w:rsidRPr="00E22B72">
        <w:rPr>
          <w:rFonts w:ascii="Times New Roman" w:hAnsi="Times New Roman" w:cs="Times New Roman"/>
          <w:i/>
          <w:sz w:val="20"/>
          <w:szCs w:val="20"/>
        </w:rPr>
        <w:t>;</w:t>
      </w:r>
    </w:p>
    <w:p w14:paraId="78ACF037"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площа</w:t>
      </w:r>
      <w:r w:rsidR="00B668D3">
        <w:rPr>
          <w:rFonts w:ascii="Times New Roman" w:hAnsi="Times New Roman" w:cs="Times New Roman"/>
          <w:sz w:val="20"/>
          <w:szCs w:val="20"/>
        </w:rPr>
        <w:t>дь Объекта с пристройками: 172,7</w:t>
      </w:r>
      <w:r w:rsidRPr="00E22B72">
        <w:rPr>
          <w:rFonts w:ascii="Times New Roman" w:hAnsi="Times New Roman" w:cs="Times New Roman"/>
          <w:sz w:val="20"/>
          <w:szCs w:val="20"/>
        </w:rPr>
        <w:t xml:space="preserve"> м</w:t>
      </w:r>
      <w:r w:rsidRPr="00E22B72">
        <w:rPr>
          <w:rFonts w:ascii="Times New Roman" w:hAnsi="Times New Roman" w:cs="Times New Roman"/>
          <w:sz w:val="20"/>
          <w:szCs w:val="20"/>
          <w:vertAlign w:val="superscript"/>
        </w:rPr>
        <w:t>2</w:t>
      </w:r>
      <w:r w:rsidRPr="00E22B72">
        <w:rPr>
          <w:rFonts w:ascii="Times New Roman" w:hAnsi="Times New Roman" w:cs="Times New Roman"/>
          <w:sz w:val="20"/>
          <w:szCs w:val="20"/>
        </w:rPr>
        <w:t>;</w:t>
      </w:r>
    </w:p>
    <w:p w14:paraId="1D88621F" w14:textId="77777777" w:rsidR="00E22B72" w:rsidRPr="00E22B72" w:rsidRDefault="005832E6"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высота Объекта: 6</w:t>
      </w:r>
      <w:r w:rsidR="00E22B72" w:rsidRPr="00E22B72">
        <w:rPr>
          <w:rFonts w:ascii="Times New Roman" w:hAnsi="Times New Roman" w:cs="Times New Roman"/>
          <w:sz w:val="20"/>
          <w:szCs w:val="20"/>
        </w:rPr>
        <w:t>,0</w:t>
      </w:r>
      <w:r w:rsidR="00E22B72" w:rsidRPr="00E22B72">
        <w:rPr>
          <w:rFonts w:ascii="Times New Roman" w:hAnsi="Times New Roman" w:cs="Times New Roman"/>
          <w:i/>
          <w:sz w:val="20"/>
          <w:szCs w:val="20"/>
        </w:rPr>
        <w:t xml:space="preserve"> </w:t>
      </w:r>
      <w:r w:rsidR="00E22B72" w:rsidRPr="00E22B72">
        <w:rPr>
          <w:rFonts w:ascii="Times New Roman" w:hAnsi="Times New Roman" w:cs="Times New Roman"/>
          <w:sz w:val="20"/>
          <w:szCs w:val="20"/>
        </w:rPr>
        <w:t>м;</w:t>
      </w:r>
    </w:p>
    <w:p w14:paraId="142907B8"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высота пристройки (центральный вход): 2,3</w:t>
      </w:r>
      <w:r w:rsidR="005832E6">
        <w:rPr>
          <w:rFonts w:ascii="Times New Roman" w:hAnsi="Times New Roman" w:cs="Times New Roman"/>
          <w:sz w:val="20"/>
          <w:szCs w:val="20"/>
        </w:rPr>
        <w:t>7</w:t>
      </w:r>
      <w:r w:rsidRPr="00E22B72">
        <w:rPr>
          <w:rFonts w:ascii="Times New Roman" w:hAnsi="Times New Roman" w:cs="Times New Roman"/>
          <w:sz w:val="20"/>
          <w:szCs w:val="20"/>
        </w:rPr>
        <w:t xml:space="preserve"> м; </w:t>
      </w:r>
    </w:p>
    <w:p w14:paraId="0519EA20" w14:textId="77777777" w:rsidR="00E22B72" w:rsidRDefault="000E79CF"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площадь пристройки: 8,58</w:t>
      </w:r>
      <w:r w:rsidR="00E22B72" w:rsidRPr="00E22B72">
        <w:rPr>
          <w:rFonts w:ascii="Times New Roman" w:hAnsi="Times New Roman" w:cs="Times New Roman"/>
          <w:sz w:val="20"/>
          <w:szCs w:val="20"/>
        </w:rPr>
        <w:t xml:space="preserve"> м2;</w:t>
      </w:r>
    </w:p>
    <w:p w14:paraId="4E377DA7" w14:textId="77777777" w:rsidR="005832E6" w:rsidRPr="00E22B72" w:rsidRDefault="005832E6" w:rsidP="005832E6">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высота пристройки (запасно</w:t>
      </w:r>
      <w:r w:rsidRPr="00E22B72">
        <w:rPr>
          <w:rFonts w:ascii="Times New Roman" w:hAnsi="Times New Roman" w:cs="Times New Roman"/>
          <w:sz w:val="20"/>
          <w:szCs w:val="20"/>
        </w:rPr>
        <w:t>й вход</w:t>
      </w:r>
      <w:r w:rsidR="000E79CF">
        <w:rPr>
          <w:rFonts w:ascii="Times New Roman" w:hAnsi="Times New Roman" w:cs="Times New Roman"/>
          <w:sz w:val="20"/>
          <w:szCs w:val="20"/>
        </w:rPr>
        <w:t>): 2,25</w:t>
      </w:r>
      <w:r w:rsidRPr="00E22B72">
        <w:rPr>
          <w:rFonts w:ascii="Times New Roman" w:hAnsi="Times New Roman" w:cs="Times New Roman"/>
          <w:sz w:val="20"/>
          <w:szCs w:val="20"/>
        </w:rPr>
        <w:t xml:space="preserve"> м; </w:t>
      </w:r>
    </w:p>
    <w:p w14:paraId="41DC5A11" w14:textId="77777777" w:rsidR="005832E6" w:rsidRPr="00E22B72" w:rsidRDefault="005832E6" w:rsidP="005832E6">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площадь пристройки: 7,37</w:t>
      </w:r>
      <w:r w:rsidRPr="00E22B72">
        <w:rPr>
          <w:rFonts w:ascii="Times New Roman" w:hAnsi="Times New Roman" w:cs="Times New Roman"/>
          <w:sz w:val="20"/>
          <w:szCs w:val="20"/>
        </w:rPr>
        <w:t xml:space="preserve"> м2;</w:t>
      </w:r>
    </w:p>
    <w:p w14:paraId="3D781551" w14:textId="77777777" w:rsidR="00E22B72" w:rsidRPr="00E22B72" w:rsidRDefault="005832E6" w:rsidP="005832E6">
      <w:pPr>
        <w:tabs>
          <w:tab w:val="left" w:pos="851"/>
          <w:tab w:val="left" w:pos="993"/>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E22B72" w:rsidRPr="00E22B72">
        <w:rPr>
          <w:rFonts w:ascii="Times New Roman" w:hAnsi="Times New Roman" w:cs="Times New Roman"/>
          <w:sz w:val="20"/>
          <w:szCs w:val="20"/>
        </w:rPr>
        <w:t>- строительный о</w:t>
      </w:r>
      <w:r w:rsidR="001043A3">
        <w:rPr>
          <w:rFonts w:ascii="Times New Roman" w:hAnsi="Times New Roman" w:cs="Times New Roman"/>
          <w:sz w:val="20"/>
          <w:szCs w:val="20"/>
        </w:rPr>
        <w:t>бъем Объекта с пристройками: 518,1</w:t>
      </w:r>
      <w:r w:rsidR="00E22B72" w:rsidRPr="00E22B72">
        <w:rPr>
          <w:rFonts w:ascii="Times New Roman" w:hAnsi="Times New Roman" w:cs="Times New Roman"/>
          <w:sz w:val="20"/>
          <w:szCs w:val="20"/>
        </w:rPr>
        <w:t xml:space="preserve"> м</w:t>
      </w:r>
      <w:r w:rsidR="00E22B72" w:rsidRPr="00E22B72">
        <w:rPr>
          <w:rFonts w:ascii="Times New Roman" w:hAnsi="Times New Roman" w:cs="Times New Roman"/>
          <w:sz w:val="20"/>
          <w:szCs w:val="20"/>
          <w:vertAlign w:val="superscript"/>
        </w:rPr>
        <w:t>3</w:t>
      </w:r>
      <w:r w:rsidR="00E22B72" w:rsidRPr="00E22B72">
        <w:rPr>
          <w:rFonts w:ascii="Times New Roman" w:hAnsi="Times New Roman" w:cs="Times New Roman"/>
          <w:sz w:val="20"/>
          <w:szCs w:val="20"/>
        </w:rPr>
        <w:t>;</w:t>
      </w:r>
    </w:p>
    <w:p w14:paraId="42D6A7C8" w14:textId="77777777" w:rsidR="00E22B72" w:rsidRPr="00E22B72" w:rsidRDefault="001043A3"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этажность: 2</w:t>
      </w:r>
      <w:r w:rsidR="00E22B72" w:rsidRPr="00E22B72">
        <w:rPr>
          <w:rFonts w:ascii="Times New Roman" w:hAnsi="Times New Roman" w:cs="Times New Roman"/>
          <w:sz w:val="20"/>
          <w:szCs w:val="20"/>
        </w:rPr>
        <w:t xml:space="preserve"> этаж</w:t>
      </w:r>
      <w:r>
        <w:rPr>
          <w:rFonts w:ascii="Times New Roman" w:hAnsi="Times New Roman" w:cs="Times New Roman"/>
          <w:sz w:val="20"/>
          <w:szCs w:val="20"/>
        </w:rPr>
        <w:t>а</w:t>
      </w:r>
      <w:r w:rsidR="00E22B72" w:rsidRPr="00E22B72">
        <w:rPr>
          <w:rFonts w:ascii="Times New Roman" w:hAnsi="Times New Roman" w:cs="Times New Roman"/>
          <w:sz w:val="20"/>
          <w:szCs w:val="20"/>
        </w:rPr>
        <w:t>;</w:t>
      </w:r>
    </w:p>
    <w:p w14:paraId="3FEF77F3"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кровля - скатная шиферная;</w:t>
      </w:r>
    </w:p>
    <w:p w14:paraId="60D98C61"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отопление - печное;</w:t>
      </w:r>
    </w:p>
    <w:p w14:paraId="14EB3CAF"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E22B72">
        <w:rPr>
          <w:rFonts w:ascii="Times New Roman" w:hAnsi="Times New Roman" w:cs="Times New Roman"/>
          <w:i/>
          <w:sz w:val="20"/>
          <w:szCs w:val="20"/>
        </w:rPr>
        <w:t>отсутствует</w:t>
      </w:r>
      <w:r w:rsidRPr="00E22B72">
        <w:rPr>
          <w:rFonts w:ascii="Times New Roman" w:hAnsi="Times New Roman" w:cs="Times New Roman"/>
          <w:sz w:val="20"/>
          <w:szCs w:val="20"/>
        </w:rPr>
        <w:t>;</w:t>
      </w:r>
    </w:p>
    <w:p w14:paraId="1F83B814"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xml:space="preserve">- наличие подключений к центральной системе водоснабжения - </w:t>
      </w:r>
      <w:r w:rsidRPr="00E22B72">
        <w:rPr>
          <w:rFonts w:ascii="Times New Roman" w:hAnsi="Times New Roman" w:cs="Times New Roman"/>
          <w:i/>
          <w:sz w:val="20"/>
          <w:szCs w:val="20"/>
        </w:rPr>
        <w:t>отсутствует</w:t>
      </w:r>
      <w:r w:rsidRPr="00E22B72">
        <w:rPr>
          <w:rFonts w:ascii="Times New Roman" w:hAnsi="Times New Roman" w:cs="Times New Roman"/>
          <w:sz w:val="20"/>
          <w:szCs w:val="20"/>
        </w:rPr>
        <w:t>;</w:t>
      </w:r>
    </w:p>
    <w:p w14:paraId="1B399B14"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E22B72">
        <w:rPr>
          <w:rFonts w:ascii="Times New Roman" w:hAnsi="Times New Roman" w:cs="Times New Roman"/>
          <w:i/>
          <w:sz w:val="20"/>
          <w:szCs w:val="20"/>
        </w:rPr>
        <w:t>отсутствует</w:t>
      </w:r>
      <w:r w:rsidRPr="00E22B72">
        <w:rPr>
          <w:rFonts w:ascii="Times New Roman" w:hAnsi="Times New Roman" w:cs="Times New Roman"/>
          <w:sz w:val="20"/>
          <w:szCs w:val="20"/>
        </w:rPr>
        <w:t>;</w:t>
      </w:r>
    </w:p>
    <w:p w14:paraId="0BFF1081"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22B72">
        <w:rPr>
          <w:rFonts w:ascii="Times New Roman" w:hAnsi="Times New Roman" w:cs="Times New Roman"/>
          <w:sz w:val="20"/>
          <w:szCs w:val="20"/>
        </w:rPr>
        <w:t xml:space="preserve">- наличие технологического оборудования на Объекте – </w:t>
      </w:r>
      <w:r w:rsidRPr="00E22B72">
        <w:rPr>
          <w:rFonts w:ascii="Times New Roman" w:hAnsi="Times New Roman" w:cs="Times New Roman"/>
          <w:i/>
          <w:sz w:val="20"/>
          <w:szCs w:val="20"/>
        </w:rPr>
        <w:t>отсутствует;</w:t>
      </w:r>
    </w:p>
    <w:p w14:paraId="5328EE38" w14:textId="77777777" w:rsidR="00E22B72" w:rsidRPr="00E22B72" w:rsidRDefault="00E22B72" w:rsidP="00E22B72">
      <w:pPr>
        <w:numPr>
          <w:ilvl w:val="0"/>
          <w:numId w:val="3"/>
        </w:numPr>
        <w:tabs>
          <w:tab w:val="left" w:pos="851"/>
          <w:tab w:val="left" w:pos="993"/>
        </w:tabs>
        <w:spacing w:after="0" w:line="240" w:lineRule="auto"/>
        <w:ind w:firstLine="567"/>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6447AD83" w14:textId="77777777" w:rsidR="00E22B72" w:rsidRPr="00E22B72" w:rsidRDefault="007C1866" w:rsidP="007C1866">
      <w:pPr>
        <w:tabs>
          <w:tab w:val="left" w:pos="851"/>
          <w:tab w:val="left" w:pos="993"/>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     </w:t>
      </w:r>
      <w:r w:rsidR="00E22B72"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2CD86C42"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05BDE883"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p>
    <w:p w14:paraId="618D967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3.1.4. Подрядчик обязан самостоятельно разработать проект организации работ по сносу объекта капитального строительства сооружений.</w:t>
      </w:r>
    </w:p>
    <w:p w14:paraId="0FD272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177505D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3.1.6. Подрядчик своими силами и за свой счет осуществляет сбор исходных данных необходимых для выполнения работ. </w:t>
      </w:r>
    </w:p>
    <w:p w14:paraId="7F6E031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3A79581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5C35DA0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18FB0130"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70694775"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1E7361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6E13AB8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03A7842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4C86863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5FD6E974"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2C6F74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360A685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4850C45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5D8A14E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1551AC94"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7956737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4999EC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146D6229"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435B69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24FAA6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 чертежи защитных устройств инженерной инфраструктуры и подземных коммуникаций;</w:t>
      </w:r>
    </w:p>
    <w:p w14:paraId="3EDDBED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р) технологические карты-схемы последовательности сноса (демонтажа) строительных конструкций и оборудования.</w:t>
      </w:r>
    </w:p>
    <w:p w14:paraId="5BEE488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3.1.9. Состав и количество документации передаваемой Заказчику:</w:t>
      </w:r>
    </w:p>
    <w:p w14:paraId="5F61D68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4771128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57E0921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D508BE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 xml:space="preserve">графические материалы (формат: </w:t>
      </w:r>
      <w:proofErr w:type="spellStart"/>
      <w:r w:rsidRPr="008E28E6">
        <w:rPr>
          <w:sz w:val="20"/>
          <w:szCs w:val="20"/>
        </w:rPr>
        <w:t>pdf</w:t>
      </w:r>
      <w:proofErr w:type="spellEnd"/>
      <w:r w:rsidRPr="008E28E6">
        <w:rPr>
          <w:sz w:val="20"/>
          <w:szCs w:val="20"/>
        </w:rPr>
        <w:t xml:space="preserve">, </w:t>
      </w:r>
      <w:proofErr w:type="spellStart"/>
      <w:r w:rsidRPr="008E28E6">
        <w:rPr>
          <w:sz w:val="20"/>
          <w:szCs w:val="20"/>
        </w:rPr>
        <w:t>jpeg</w:t>
      </w:r>
      <w:proofErr w:type="spellEnd"/>
      <w:r w:rsidRPr="008E28E6">
        <w:rPr>
          <w:sz w:val="20"/>
          <w:szCs w:val="20"/>
        </w:rPr>
        <w:t>);</w:t>
      </w:r>
    </w:p>
    <w:p w14:paraId="76136B0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 xml:space="preserve">текстовые документы (формат: </w:t>
      </w:r>
      <w:proofErr w:type="spellStart"/>
      <w:r w:rsidRPr="008E28E6">
        <w:rPr>
          <w:sz w:val="20"/>
          <w:szCs w:val="20"/>
        </w:rPr>
        <w:t>pdf</w:t>
      </w:r>
      <w:proofErr w:type="spellEnd"/>
      <w:r w:rsidRPr="008E28E6">
        <w:rPr>
          <w:sz w:val="20"/>
          <w:szCs w:val="20"/>
        </w:rPr>
        <w:t xml:space="preserve">, </w:t>
      </w:r>
      <w:proofErr w:type="spellStart"/>
      <w:r w:rsidRPr="008E28E6">
        <w:rPr>
          <w:sz w:val="20"/>
          <w:szCs w:val="20"/>
        </w:rPr>
        <w:t>doc</w:t>
      </w:r>
      <w:proofErr w:type="spellEnd"/>
      <w:r w:rsidRPr="008E28E6">
        <w:rPr>
          <w:sz w:val="20"/>
          <w:szCs w:val="20"/>
        </w:rPr>
        <w:t>);</w:t>
      </w:r>
    </w:p>
    <w:p w14:paraId="61FD535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E73172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304D331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1CAE3BC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 Получить согласования и разрешения во всех необходимых инстанциях (ПАО «</w:t>
      </w:r>
      <w:proofErr w:type="spellStart"/>
      <w:r w:rsidRPr="008E28E6">
        <w:rPr>
          <w:sz w:val="20"/>
          <w:szCs w:val="20"/>
        </w:rPr>
        <w:t>Россети</w:t>
      </w:r>
      <w:proofErr w:type="spellEnd"/>
      <w:r w:rsidRPr="008E28E6">
        <w:rPr>
          <w:sz w:val="20"/>
          <w:szCs w:val="20"/>
        </w:rPr>
        <w:t xml:space="preserve"> Северо-Запад», Администрация </w:t>
      </w:r>
      <w:r w:rsidR="00D16BAA">
        <w:rPr>
          <w:sz w:val="20"/>
          <w:szCs w:val="20"/>
        </w:rPr>
        <w:t>Кубенского</w:t>
      </w:r>
      <w:r w:rsidR="007821A6">
        <w:rPr>
          <w:sz w:val="20"/>
          <w:szCs w:val="20"/>
        </w:rPr>
        <w:t xml:space="preserve"> сельского поселения</w:t>
      </w:r>
      <w:r w:rsidR="007821A6" w:rsidRPr="007821A6">
        <w:rPr>
          <w:sz w:val="20"/>
          <w:szCs w:val="20"/>
        </w:rPr>
        <w:t xml:space="preserve"> </w:t>
      </w:r>
      <w:r w:rsidRPr="008E28E6">
        <w:rPr>
          <w:sz w:val="20"/>
          <w:szCs w:val="20"/>
        </w:rPr>
        <w:t>Вологодской области и пр.);</w:t>
      </w:r>
    </w:p>
    <w:p w14:paraId="6338C24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w:t>
      </w:r>
      <w:proofErr w:type="spellStart"/>
      <w:r w:rsidRPr="008E28E6">
        <w:rPr>
          <w:sz w:val="20"/>
          <w:szCs w:val="20"/>
        </w:rPr>
        <w:t>пр</w:t>
      </w:r>
      <w:proofErr w:type="spellEnd"/>
      <w:r w:rsidRPr="008E28E6">
        <w:rPr>
          <w:sz w:val="20"/>
          <w:szCs w:val="20"/>
        </w:rPr>
        <w:t>;</w:t>
      </w:r>
    </w:p>
    <w:p w14:paraId="1382B880"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t>Требования к Работам</w:t>
      </w:r>
    </w:p>
    <w:p w14:paraId="18ECC6A4"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4E8D47A3"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1D020BB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72871FB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44D9E729"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7685E4A3"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09A12BC4"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0718BD12"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5"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5B1A1E39"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140663E0"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w:t>
      </w:r>
      <w:proofErr w:type="spellStart"/>
      <w:r w:rsidRPr="008E28E6">
        <w:rPr>
          <w:sz w:val="20"/>
          <w:szCs w:val="20"/>
        </w:rPr>
        <w:t>ов</w:t>
      </w:r>
      <w:proofErr w:type="spellEnd"/>
      <w:r w:rsidRPr="008E28E6">
        <w:rPr>
          <w:sz w:val="20"/>
          <w:szCs w:val="20"/>
        </w:rPr>
        <w:t>) о назначении ответственного лица за Работы, о назначении ответственного лица за пожарную безопасность и ответственного лица. </w:t>
      </w:r>
    </w:p>
    <w:p w14:paraId="543242D1"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273A3FD7"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00AFF4E0"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7951D9B6"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541A1EFE"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0923CFA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3DE27AFC"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3494E14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4E9412F3"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21A7D529"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3EA95A6A"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01FE6A28"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183B2540"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3010BBE1" w14:textId="14040C25"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880091">
        <w:rPr>
          <w:color w:val="000000" w:themeColor="text1"/>
          <w:sz w:val="20"/>
          <w:szCs w:val="20"/>
        </w:rPr>
        <w:t>30</w:t>
      </w:r>
      <w:r w:rsidRPr="008E28E6">
        <w:rPr>
          <w:color w:val="000000" w:themeColor="text1"/>
          <w:sz w:val="20"/>
          <w:szCs w:val="20"/>
        </w:rPr>
        <w:t xml:space="preserve"> </w:t>
      </w:r>
      <w:r w:rsidRPr="008E28E6">
        <w:rPr>
          <w:sz w:val="20"/>
          <w:szCs w:val="20"/>
        </w:rPr>
        <w:t>календарных дней с даты заключения договора.</w:t>
      </w:r>
    </w:p>
    <w:p w14:paraId="0D0476FD" w14:textId="77777777"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lastRenderedPageBreak/>
        <w:t>Подрядчик обязан не позднее 7 календарных с даты заключения договора, предоставить проект организации работ по сносу объекта капитального строительства (ПОР) и приступить к демонтажным работам.</w:t>
      </w:r>
    </w:p>
    <w:p w14:paraId="7F558FFD"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1081D313"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5F8B449C"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7CD40429"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6CB0A3E2"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4F8C1335"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4BC9A6B4"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120D280D"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DC63A57"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8B8D73F"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6267C34"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4D77BB72"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055ED51E"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2222851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21579440"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37DF2222" w14:textId="77777777" w:rsidR="00E22B72" w:rsidRPr="008E28E6" w:rsidRDefault="00E22B72" w:rsidP="00E22B72">
      <w:pPr>
        <w:pStyle w:val="a4"/>
        <w:tabs>
          <w:tab w:val="left" w:pos="851"/>
          <w:tab w:val="left" w:pos="993"/>
        </w:tabs>
        <w:ind w:left="567"/>
        <w:jc w:val="both"/>
        <w:rPr>
          <w:sz w:val="20"/>
          <w:szCs w:val="20"/>
        </w:rPr>
      </w:pPr>
    </w:p>
    <w:p w14:paraId="062D45C0"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11D99099"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628CF9BF"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55560F1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618EDFF7"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4133006A"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CA3BBBF"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1066750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45A4D4A1"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5F7DEFB7"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D622767" w14:textId="77777777" w:rsidR="00E22B72" w:rsidRPr="008E28E6" w:rsidRDefault="00E22B72" w:rsidP="00E22B72">
      <w:pPr>
        <w:pStyle w:val="a4"/>
        <w:tabs>
          <w:tab w:val="left" w:pos="851"/>
          <w:tab w:val="left" w:pos="993"/>
        </w:tabs>
        <w:ind w:left="567"/>
        <w:jc w:val="both"/>
        <w:rPr>
          <w:sz w:val="20"/>
          <w:szCs w:val="20"/>
        </w:rPr>
      </w:pPr>
    </w:p>
    <w:p w14:paraId="398E9826"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2E6FBBDA"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0F867011"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lastRenderedPageBreak/>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385F5CC"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353360BC"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0F12ED08" w14:textId="77777777" w:rsidR="00E22B72" w:rsidRDefault="00E22B72" w:rsidP="00E22B72"/>
    <w:p w14:paraId="641C127D"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23FE234C"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679CE4F0"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t>- Акт сдачи-приемки выполненных работ;</w:t>
      </w:r>
      <w:r w:rsidRPr="008E28E6">
        <w:rPr>
          <w:sz w:val="20"/>
          <w:szCs w:val="20"/>
        </w:rPr>
        <w:t xml:space="preserve"> </w:t>
      </w:r>
    </w:p>
    <w:p w14:paraId="0907AC39"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0666C2C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2F4BFFE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11A40035"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5BA89DD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6EBBF78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3C12E4C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графические материалы (формат: </w:t>
      </w:r>
      <w:proofErr w:type="spellStart"/>
      <w:r w:rsidRPr="008E28E6">
        <w:rPr>
          <w:sz w:val="20"/>
          <w:szCs w:val="20"/>
        </w:rPr>
        <w:t>pdf</w:t>
      </w:r>
      <w:proofErr w:type="spellEnd"/>
      <w:r w:rsidRPr="008E28E6">
        <w:rPr>
          <w:sz w:val="20"/>
          <w:szCs w:val="20"/>
        </w:rPr>
        <w:t xml:space="preserve">, </w:t>
      </w:r>
      <w:proofErr w:type="spellStart"/>
      <w:r w:rsidRPr="008E28E6">
        <w:rPr>
          <w:sz w:val="20"/>
          <w:szCs w:val="20"/>
        </w:rPr>
        <w:t>jpeg</w:t>
      </w:r>
      <w:proofErr w:type="spellEnd"/>
      <w:r w:rsidRPr="008E28E6">
        <w:rPr>
          <w:sz w:val="20"/>
          <w:szCs w:val="20"/>
        </w:rPr>
        <w:t>);</w:t>
      </w:r>
    </w:p>
    <w:p w14:paraId="3BDEB8A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текстовые документы (формат: </w:t>
      </w:r>
      <w:proofErr w:type="spellStart"/>
      <w:r w:rsidRPr="008E28E6">
        <w:rPr>
          <w:sz w:val="20"/>
          <w:szCs w:val="20"/>
        </w:rPr>
        <w:t>pdf</w:t>
      </w:r>
      <w:proofErr w:type="spellEnd"/>
      <w:r w:rsidRPr="008E28E6">
        <w:rPr>
          <w:sz w:val="20"/>
          <w:szCs w:val="20"/>
        </w:rPr>
        <w:t xml:space="preserve">, </w:t>
      </w:r>
      <w:proofErr w:type="spellStart"/>
      <w:r w:rsidRPr="008E28E6">
        <w:rPr>
          <w:sz w:val="20"/>
          <w:szCs w:val="20"/>
        </w:rPr>
        <w:t>doc</w:t>
      </w:r>
      <w:proofErr w:type="spellEnd"/>
      <w:r w:rsidRPr="008E28E6">
        <w:rPr>
          <w:sz w:val="20"/>
          <w:szCs w:val="20"/>
        </w:rPr>
        <w:t>);</w:t>
      </w:r>
    </w:p>
    <w:p w14:paraId="6A5F824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6D162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621508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471A1857" w14:textId="77777777" w:rsidR="00E22B72" w:rsidRPr="008E28E6" w:rsidRDefault="00E22B72" w:rsidP="00E22B72">
      <w:pPr>
        <w:pStyle w:val="a4"/>
        <w:tabs>
          <w:tab w:val="left" w:pos="851"/>
          <w:tab w:val="left" w:pos="993"/>
        </w:tabs>
        <w:ind w:left="0" w:firstLine="567"/>
        <w:jc w:val="both"/>
        <w:rPr>
          <w:color w:val="FF0000"/>
          <w:sz w:val="20"/>
          <w:szCs w:val="20"/>
        </w:rPr>
      </w:pPr>
      <w:r w:rsidRPr="008E28E6">
        <w:rPr>
          <w:sz w:val="20"/>
          <w:szCs w:val="20"/>
        </w:rPr>
        <w:t>- Полученные согласования и разрешения во всех необходимых инстанциях (ПАО «</w:t>
      </w:r>
      <w:proofErr w:type="spellStart"/>
      <w:r w:rsidRPr="008E28E6">
        <w:rPr>
          <w:sz w:val="20"/>
          <w:szCs w:val="20"/>
        </w:rPr>
        <w:t>Россети</w:t>
      </w:r>
      <w:proofErr w:type="spellEnd"/>
      <w:r w:rsidRPr="008E28E6">
        <w:rPr>
          <w:sz w:val="20"/>
          <w:szCs w:val="20"/>
        </w:rPr>
        <w:t xml:space="preserve"> Северо-Запад», Администрация сельского поселения Анненское Вытегорского муниципального района Вологодской области и пр.);</w:t>
      </w:r>
    </w:p>
    <w:p w14:paraId="4F249347"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932E42F" w14:textId="77777777" w:rsidR="001444AE" w:rsidRDefault="001444AE" w:rsidP="00E22B72">
      <w:pPr>
        <w:pStyle w:val="a4"/>
        <w:tabs>
          <w:tab w:val="left" w:pos="851"/>
          <w:tab w:val="left" w:pos="993"/>
          <w:tab w:val="left" w:pos="1418"/>
        </w:tabs>
        <w:ind w:left="0" w:firstLine="567"/>
        <w:jc w:val="both"/>
        <w:rPr>
          <w:sz w:val="20"/>
          <w:szCs w:val="20"/>
        </w:rPr>
      </w:pPr>
    </w:p>
    <w:p w14:paraId="4068AD4D" w14:textId="77777777" w:rsidR="001444AE" w:rsidRPr="008E28E6" w:rsidRDefault="001444AE" w:rsidP="00E22B72">
      <w:pPr>
        <w:pStyle w:val="a4"/>
        <w:tabs>
          <w:tab w:val="left" w:pos="851"/>
          <w:tab w:val="left" w:pos="993"/>
          <w:tab w:val="left" w:pos="1418"/>
        </w:tabs>
        <w:ind w:left="0" w:firstLine="567"/>
        <w:jc w:val="both"/>
        <w:rPr>
          <w:sz w:val="20"/>
          <w:szCs w:val="20"/>
        </w:rPr>
      </w:pPr>
    </w:p>
    <w:tbl>
      <w:tblPr>
        <w:tblpPr w:leftFromText="180" w:rightFromText="180" w:bottomFromText="160" w:vertAnchor="text" w:horzAnchor="page" w:tblpX="1663" w:tblpY="126"/>
        <w:tblW w:w="9606" w:type="dxa"/>
        <w:tblLook w:val="04A0" w:firstRow="1" w:lastRow="0" w:firstColumn="1" w:lastColumn="0" w:noHBand="0" w:noVBand="1"/>
      </w:tblPr>
      <w:tblGrid>
        <w:gridCol w:w="5211"/>
        <w:gridCol w:w="4395"/>
      </w:tblGrid>
      <w:tr w:rsidR="001444AE" w:rsidRPr="00174193" w14:paraId="5717059E" w14:textId="77777777" w:rsidTr="00CC6CE6">
        <w:trPr>
          <w:trHeight w:val="1125"/>
        </w:trPr>
        <w:tc>
          <w:tcPr>
            <w:tcW w:w="5211" w:type="dxa"/>
            <w:hideMark/>
          </w:tcPr>
          <w:p w14:paraId="0ACD2EBB" w14:textId="77777777" w:rsidR="001444AE" w:rsidRPr="00174193" w:rsidRDefault="001444AE" w:rsidP="00CC6CE6">
            <w:pPr>
              <w:spacing w:after="0" w:line="240" w:lineRule="auto"/>
              <w:contextualSpacing/>
              <w:rPr>
                <w:rFonts w:ascii="Times New Roman" w:eastAsia="Times New Roman" w:hAnsi="Times New Roman" w:cs="Times New Roman"/>
                <w:b/>
                <w:bCs/>
                <w:caps/>
                <w:sz w:val="20"/>
                <w:szCs w:val="20"/>
                <w:lang w:eastAsia="ru-RU"/>
              </w:rPr>
            </w:pPr>
            <w:r w:rsidRPr="00174193">
              <w:rPr>
                <w:rFonts w:ascii="Times New Roman" w:eastAsia="Times New Roman" w:hAnsi="Times New Roman" w:cs="Times New Roman"/>
                <w:b/>
                <w:bCs/>
                <w:caps/>
                <w:sz w:val="20"/>
                <w:szCs w:val="20"/>
                <w:lang w:eastAsia="ru-RU"/>
              </w:rPr>
              <w:t>ЗАКАЗЧИК:</w:t>
            </w:r>
            <w:r w:rsidRPr="00174193">
              <w:rPr>
                <w:rFonts w:ascii="Times New Roman" w:eastAsia="Times New Roman" w:hAnsi="Times New Roman" w:cs="Times New Roman"/>
                <w:b/>
                <w:sz w:val="20"/>
                <w:szCs w:val="20"/>
                <w:lang w:eastAsia="ru-RU"/>
              </w:rPr>
              <w:t xml:space="preserve"> АО «Почта России»</w:t>
            </w:r>
          </w:p>
          <w:p w14:paraId="7C86618B" w14:textId="77777777" w:rsidR="001444AE" w:rsidRPr="00174193" w:rsidRDefault="001444AE" w:rsidP="001444AE">
            <w:pPr>
              <w:spacing w:after="0" w:line="240" w:lineRule="auto"/>
              <w:contextualSpacing/>
              <w:rPr>
                <w:rFonts w:ascii="Times New Roman" w:eastAsia="Times New Roman" w:hAnsi="Times New Roman" w:cs="Times New Roman"/>
                <w:sz w:val="20"/>
                <w:szCs w:val="24"/>
                <w:lang w:eastAsia="ru-RU"/>
              </w:rPr>
            </w:pPr>
          </w:p>
        </w:tc>
        <w:tc>
          <w:tcPr>
            <w:tcW w:w="4395" w:type="dxa"/>
          </w:tcPr>
          <w:p w14:paraId="4A5918BE" w14:textId="77777777" w:rsidR="001444AE" w:rsidRPr="001444AE" w:rsidRDefault="001444AE" w:rsidP="00CC6CE6">
            <w:pPr>
              <w:spacing w:after="0" w:line="240" w:lineRule="auto"/>
              <w:contextualSpacing/>
              <w:rPr>
                <w:rFonts w:ascii="Times New Roman" w:eastAsia="Times New Roman" w:hAnsi="Times New Roman" w:cs="Times New Roman"/>
                <w:b/>
                <w:caps/>
                <w:sz w:val="20"/>
                <w:szCs w:val="20"/>
                <w:lang w:eastAsia="ru-RU"/>
              </w:rPr>
            </w:pPr>
            <w:r w:rsidRPr="00E856AE">
              <w:rPr>
                <w:rFonts w:ascii="Times New Roman" w:eastAsia="Times New Roman" w:hAnsi="Times New Roman" w:cs="Times New Roman"/>
                <w:b/>
                <w:caps/>
                <w:sz w:val="20"/>
                <w:szCs w:val="20"/>
                <w:lang w:eastAsia="ru-RU"/>
              </w:rPr>
              <w:t>Подрядчик:</w:t>
            </w:r>
            <w:r w:rsidRPr="00E856AE">
              <w:rPr>
                <w:rFonts w:ascii="Times New Roman" w:eastAsia="Times New Roman" w:hAnsi="Times New Roman" w:cs="Times New Roman"/>
              </w:rPr>
              <w:t xml:space="preserve"> </w:t>
            </w:r>
          </w:p>
        </w:tc>
      </w:tr>
    </w:tbl>
    <w:p w14:paraId="293F5B03" w14:textId="77777777" w:rsidR="00E22B72" w:rsidRDefault="00E22B72" w:rsidP="00E22B72"/>
    <w:sectPr w:rsidR="00E22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E79CF"/>
    <w:rsid w:val="001043A3"/>
    <w:rsid w:val="001444AE"/>
    <w:rsid w:val="0015147F"/>
    <w:rsid w:val="005832E6"/>
    <w:rsid w:val="0059619E"/>
    <w:rsid w:val="007821A6"/>
    <w:rsid w:val="007C1866"/>
    <w:rsid w:val="00880091"/>
    <w:rsid w:val="00A27673"/>
    <w:rsid w:val="00A53134"/>
    <w:rsid w:val="00AE53FB"/>
    <w:rsid w:val="00B668D3"/>
    <w:rsid w:val="00D16BAA"/>
    <w:rsid w:val="00E22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2BB8"/>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splus.pochta.ru/?req=doc&amp;base=LAW&amp;n=328815&amp;dst=100008&amp;field=134&amp;date=07.02.20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2727</Words>
  <Characters>15549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10</cp:revision>
  <dcterms:created xsi:type="dcterms:W3CDTF">2026-05-08T10:49:00Z</dcterms:created>
  <dcterms:modified xsi:type="dcterms:W3CDTF">2026-05-20T06:25:00Z</dcterms:modified>
</cp:coreProperties>
</file>