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numPr>
          <w:ilvl w:val="0"/>
          <w:numId w:val="0"/>
        </w:numPr>
        <w:spacing w:lineRule="auto" w:line="360" w:before="120" w:after="60"/>
        <w:ind w:left="5038" w:hanging="0"/>
        <w:jc w:val="right"/>
        <w:outlineLvl w:val="0"/>
        <w:rPr>
          <w:rFonts w:eastAsia="Calibri"/>
          <w:b/>
          <w:sz w:val="24"/>
          <w:szCs w:val="24"/>
          <w:lang w:val="x-none" w:eastAsia="en-US"/>
        </w:rPr>
      </w:pPr>
      <w:r>
        <w:rPr>
          <w:rFonts w:eastAsia="Calibri"/>
          <w:b/>
          <w:sz w:val="24"/>
          <w:szCs w:val="24"/>
          <w:lang w:val="x-none" w:eastAsia="en-US"/>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поставку МТР</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32"/>
          <w:szCs w:val="32"/>
        </w:rPr>
      </w:pPr>
      <w:r>
        <w:rPr>
          <w:rFonts w:eastAsia="Calibri"/>
          <w:b/>
          <w:sz w:val="32"/>
          <w:szCs w:val="32"/>
        </w:rPr>
      </w:r>
    </w:p>
    <w:p>
      <w:pPr>
        <w:pStyle w:val="Normal"/>
        <w:jc w:val="center"/>
        <w:rPr>
          <w:sz w:val="32"/>
          <w:szCs w:val="32"/>
        </w:rPr>
      </w:pPr>
      <w:r>
        <w:rPr>
          <w:rFonts w:eastAsia="Calibri"/>
          <w:sz w:val="32"/>
          <w:szCs w:val="32"/>
        </w:rPr>
        <w:t>О</w:t>
      </w:r>
      <w:r>
        <w:rPr>
          <w:sz w:val="32"/>
          <w:szCs w:val="32"/>
        </w:rPr>
        <w:t xml:space="preserve">КПД2 </w:t>
      </w:r>
      <w:r>
        <w:rPr>
          <w:rFonts w:ascii="YS Text;apple-system;BlinkMacSystemFont;Arial;Helvetica;Arial Unicode MS;sans-serif" w:hAnsi="YS Text;apple-system;BlinkMacSystemFont;Arial;Helvetica;Arial Unicode MS;sans-serif"/>
          <w:b w:val="false"/>
          <w:i w:val="false"/>
          <w:caps w:val="false"/>
          <w:smallCaps w:val="false"/>
          <w:color w:val="333333"/>
          <w:spacing w:val="0"/>
          <w:sz w:val="32"/>
          <w:szCs w:val="32"/>
        </w:rPr>
        <w:t>20.42.15.149</w:t>
      </w:r>
      <w:r>
        <w:rPr>
          <w:sz w:val="32"/>
          <w:szCs w:val="32"/>
        </w:rPr>
        <w:t>. Поставка смывающих и обезвреживающих средств для нужд Саяно-Шушенского филиала АО "ТК РусГидро"</w:t>
      </w:r>
    </w:p>
    <w:p>
      <w:pPr>
        <w:pStyle w:val="Normal"/>
        <w:jc w:val="center"/>
        <w:rPr/>
      </w:pPr>
      <w:r>
        <w:rPr>
          <w:sz w:val="32"/>
          <w:szCs w:val="32"/>
        </w:rPr>
        <w:t xml:space="preserve">Лот № </w:t>
      </w:r>
    </w:p>
    <w:p>
      <w:pPr>
        <w:pStyle w:val="Normal"/>
        <w:jc w:val="center"/>
        <w:rPr>
          <w:sz w:val="32"/>
          <w:szCs w:val="32"/>
        </w:rPr>
      </w:pPr>
      <w:r>
        <w:rPr>
          <w:sz w:val="32"/>
          <w:szCs w:val="32"/>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right" w:pos="9921" w:leader="dot"/>
            </w:tabs>
            <w:rPr/>
          </w:pPr>
          <w:r>
            <w:fldChar w:fldCharType="begin"/>
          </w:r>
          <w:r>
            <w:rPr>
              <w:webHidden/>
              <w:rStyle w:val="Style14"/>
              <w:vanish w:val="false"/>
            </w:rPr>
            <w:instrText xml:space="preserve"> TOC \z \o "1-4" \u \h</w:instrText>
          </w:r>
          <w:r>
            <w:rPr>
              <w:webHidden/>
              <w:rStyle w:val="Style14"/>
              <w:vanish w:val="false"/>
            </w:rPr>
            <w:fldChar w:fldCharType="separate"/>
          </w:r>
          <w:hyperlink w:anchor="__RefHeading___Toc1881_2473218281">
            <w:r>
              <w:rPr>
                <w:webHidden/>
                <w:rStyle w:val="Style14"/>
                <w:vanish w:val="false"/>
              </w:rPr>
              <w:t>1. Общие сведения</w:t>
              <w:tab/>
              <w:t>3</w:t>
            </w:r>
          </w:hyperlink>
        </w:p>
        <w:p>
          <w:pPr>
            <w:pStyle w:val="TOC4"/>
            <w:tabs>
              <w:tab w:val="clear" w:pos="708"/>
              <w:tab w:val="right" w:pos="9921" w:leader="dot"/>
            </w:tabs>
            <w:rPr/>
          </w:pPr>
          <w:hyperlink w:anchor="__RefHeading___Toc1883_2473218281">
            <w:r>
              <w:rPr>
                <w:webHidden/>
                <w:rStyle w:val="Style14"/>
                <w:vanish w:val="false"/>
              </w:rPr>
              <w:t>1.1. Обозначения и сокращения</w:t>
              <w:tab/>
              <w:t>3</w:t>
            </w:r>
          </w:hyperlink>
        </w:p>
        <w:p>
          <w:pPr>
            <w:pStyle w:val="TOC4"/>
            <w:tabs>
              <w:tab w:val="clear" w:pos="708"/>
              <w:tab w:val="right" w:pos="9921" w:leader="dot"/>
            </w:tabs>
            <w:rPr/>
          </w:pPr>
          <w:hyperlink w:anchor="__RefHeading___Toc1885_2473218281">
            <w:r>
              <w:rPr>
                <w:webHidden/>
                <w:rStyle w:val="Style14"/>
                <w:vanish w:val="false"/>
              </w:rPr>
              <w:t>1.2. Наименование закупаемой продукции</w:t>
              <w:tab/>
              <w:t>3</w:t>
            </w:r>
          </w:hyperlink>
        </w:p>
        <w:p>
          <w:pPr>
            <w:pStyle w:val="TOC4"/>
            <w:tabs>
              <w:tab w:val="clear" w:pos="708"/>
              <w:tab w:val="right" w:pos="9921" w:leader="dot"/>
            </w:tabs>
            <w:rPr/>
          </w:pPr>
          <w:hyperlink w:anchor="__RefHeading___Toc1887_2473218281">
            <w:r>
              <w:rPr>
                <w:webHidden/>
                <w:rStyle w:val="Style14"/>
                <w:vanish w:val="false"/>
              </w:rPr>
              <w:t>1.3. Цель использования закупаемой продукции</w:t>
              <w:tab/>
              <w:t>3</w:t>
            </w:r>
          </w:hyperlink>
        </w:p>
        <w:p>
          <w:pPr>
            <w:pStyle w:val="TOC1"/>
            <w:tabs>
              <w:tab w:val="clear" w:pos="708"/>
              <w:tab w:val="right" w:pos="9921" w:leader="dot"/>
            </w:tabs>
            <w:rPr/>
          </w:pPr>
          <w:hyperlink w:anchor="__RefHeading___Toc1889_2473218281">
            <w:r>
              <w:rPr>
                <w:webHidden/>
                <w:rStyle w:val="Style14"/>
                <w:vanish w:val="false"/>
              </w:rPr>
              <w:t xml:space="preserve">2. </w:t>
            </w:r>
            <w:r>
              <w:rPr>
                <w:rStyle w:val="Style14"/>
                <w:iCs/>
              </w:rPr>
              <w:t>Требования к продукции</w:t>
            </w:r>
            <w:r>
              <w:rPr>
                <w:rStyle w:val="Style14"/>
              </w:rPr>
              <w:tab/>
              <w:t>3</w:t>
            </w:r>
          </w:hyperlink>
        </w:p>
        <w:p>
          <w:pPr>
            <w:pStyle w:val="TOC4"/>
            <w:tabs>
              <w:tab w:val="clear" w:pos="708"/>
              <w:tab w:val="right" w:pos="9921" w:leader="dot"/>
            </w:tabs>
            <w:rPr/>
          </w:pPr>
          <w:hyperlink w:anchor="__RefHeading___Toc1891_2473218281">
            <w:r>
              <w:rPr>
                <w:webHidden/>
                <w:rStyle w:val="Style14"/>
                <w:vanish w:val="false"/>
              </w:rPr>
              <w:t>2.1. Требования к объемам и срокам поставки</w:t>
              <w:tab/>
              <w:t>3</w:t>
            </w:r>
          </w:hyperlink>
        </w:p>
        <w:p>
          <w:pPr>
            <w:pStyle w:val="TOC3"/>
            <w:tabs>
              <w:tab w:val="clear" w:pos="708"/>
              <w:tab w:val="right" w:pos="9921" w:leader="dot"/>
            </w:tabs>
            <w:rPr/>
          </w:pPr>
          <w:hyperlink w:anchor="__RefHeading___Toc1893_2473218281">
            <w:r>
              <w:rPr>
                <w:webHidden/>
                <w:rStyle w:val="Style14"/>
                <w:vanish w:val="false"/>
              </w:rPr>
              <w:t>2.1.1. Перечень и объем закупаемой продукции</w:t>
              <w:tab/>
              <w:t>3</w:t>
            </w:r>
          </w:hyperlink>
        </w:p>
        <w:p>
          <w:pPr>
            <w:pStyle w:val="TOC3"/>
            <w:tabs>
              <w:tab w:val="clear" w:pos="708"/>
              <w:tab w:val="right" w:pos="9921" w:leader="dot"/>
            </w:tabs>
            <w:rPr/>
          </w:pPr>
          <w:hyperlink w:anchor="__RefHeading___Toc1895_2473218281">
            <w:r>
              <w:rPr>
                <w:webHidden/>
                <w:rStyle w:val="Style14"/>
                <w:vanish w:val="false"/>
              </w:rPr>
              <w:t>Таблица 1 Перечень и объем закупаемой продукции</w:t>
              <w:tab/>
              <w:t>3</w:t>
            </w:r>
          </w:hyperlink>
        </w:p>
        <w:p>
          <w:pPr>
            <w:pStyle w:val="TOC3"/>
            <w:tabs>
              <w:tab w:val="clear" w:pos="708"/>
              <w:tab w:val="right" w:pos="9921" w:leader="dot"/>
            </w:tabs>
            <w:rPr/>
          </w:pPr>
          <w:hyperlink w:anchor="__RefHeading___Toc1897_2473218281">
            <w:r>
              <w:rPr>
                <w:webHidden/>
                <w:rStyle w:val="Style14"/>
                <w:vanish w:val="false"/>
              </w:rPr>
              <w:t>2.1.2. Требования к срокам поставки продукции и оказания сопутствующих услуг</w:t>
              <w:tab/>
              <w:t>4</w:t>
            </w:r>
          </w:hyperlink>
        </w:p>
        <w:p>
          <w:pPr>
            <w:pStyle w:val="TOC1"/>
            <w:tabs>
              <w:tab w:val="clear" w:pos="708"/>
              <w:tab w:val="right" w:pos="9921" w:leader="dot"/>
            </w:tabs>
            <w:rPr/>
          </w:pPr>
          <w:hyperlink w:anchor="__RefHeading___Toc1899_2473218281">
            <w:r>
              <w:rPr>
                <w:webHidden/>
                <w:rStyle w:val="Style14"/>
                <w:vanish w:val="false"/>
              </w:rPr>
              <w:t>Таблица 2 Требования по срокам поставки продукции</w:t>
              <w:tab/>
              <w:t>4</w:t>
            </w:r>
          </w:hyperlink>
        </w:p>
        <w:p>
          <w:pPr>
            <w:pStyle w:val="TOC4"/>
            <w:tabs>
              <w:tab w:val="clear" w:pos="708"/>
              <w:tab w:val="right" w:pos="9921" w:leader="dot"/>
            </w:tabs>
            <w:rPr/>
          </w:pPr>
          <w:hyperlink w:anchor="__RefHeading___Toc1901_2473218281">
            <w:r>
              <w:rPr>
                <w:webHidden/>
                <w:rStyle w:val="Style14"/>
                <w:vanish w:val="false"/>
              </w:rPr>
              <w:t>2.2. Требования к качеству продукции</w:t>
              <w:tab/>
              <w:t>5</w:t>
            </w:r>
          </w:hyperlink>
        </w:p>
        <w:p>
          <w:pPr>
            <w:pStyle w:val="TOC1"/>
            <w:tabs>
              <w:tab w:val="clear" w:pos="708"/>
              <w:tab w:val="right" w:pos="9921" w:leader="dot"/>
            </w:tabs>
            <w:rPr/>
          </w:pPr>
          <w:hyperlink w:anchor="__RefHeading___Toc1903_2473218281">
            <w:r>
              <w:rPr>
                <w:webHidden/>
                <w:rStyle w:val="Style14"/>
                <w:vanish w:val="false"/>
              </w:rPr>
              <w:t xml:space="preserve"> </w:t>
            </w:r>
            <w:r>
              <w:rPr>
                <w:rStyle w:val="Style14"/>
              </w:rPr>
              <w:t>Таблица 3. Требования к продукции</w:t>
              <w:tab/>
              <w:t>5</w:t>
            </w:r>
          </w:hyperlink>
        </w:p>
        <w:p>
          <w:pPr>
            <w:pStyle w:val="TOC1"/>
            <w:tabs>
              <w:tab w:val="clear" w:pos="708"/>
              <w:tab w:val="right" w:pos="9921" w:leader="dot"/>
            </w:tabs>
            <w:rPr/>
          </w:pPr>
          <w:hyperlink w:anchor="__RefHeading___Toc1905_2473218281">
            <w:r>
              <w:rPr>
                <w:webHidden/>
                <w:rStyle w:val="Style14"/>
                <w:vanish w:val="false"/>
              </w:rPr>
              <w:t>3. Требования к документации по ценообразованию на этапе закупки</w:t>
              <w:tab/>
              <w:t>12</w:t>
            </w:r>
          </w:hyperlink>
        </w:p>
        <w:p>
          <w:pPr>
            <w:pStyle w:val="TOC4"/>
            <w:tabs>
              <w:tab w:val="clear" w:pos="708"/>
              <w:tab w:val="right" w:pos="9921" w:leader="dot"/>
            </w:tabs>
            <w:rPr/>
          </w:pPr>
          <w:hyperlink w:anchor="__RefHeading___Toc1907_2473218281">
            <w:r>
              <w:rPr>
                <w:webHidden/>
                <w:rStyle w:val="Style14"/>
                <w:vanish w:val="fals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tab/>
              <w:t>12</w:t>
            </w:r>
          </w:hyperlink>
        </w:p>
        <w:p>
          <w:pPr>
            <w:pStyle w:val="TOC4"/>
            <w:tabs>
              <w:tab w:val="clear" w:pos="708"/>
              <w:tab w:val="right" w:pos="9921" w:leader="dot"/>
            </w:tabs>
            <w:rPr/>
          </w:pPr>
          <w:hyperlink w:anchor="__RefHeading___Toc1909_2473218281">
            <w:r>
              <w:rPr>
                <w:webHidden/>
                <w:rStyle w:val="Style14"/>
                <w:vanish w:val="false"/>
              </w:rPr>
              <w:t>3.2. Дополнительные документы по ценообразованию в состав заявки не включаются.</w:t>
              <w:tab/>
              <w:t>12</w:t>
            </w:r>
          </w:hyperlink>
          <w:r>
            <w:rPr>
              <w:rStyle w:val="Style14"/>
              <w:vanish w:val="false"/>
            </w:rPr>
            <w:fldChar w:fldCharType="end"/>
          </w:r>
        </w:p>
      </w:sdtContent>
    </w:sdt>
    <w:p>
      <w:pPr>
        <w:pStyle w:val="TOC1"/>
        <w:tabs>
          <w:tab w:val="clear" w:pos="708"/>
          <w:tab w:val="left" w:pos="560" w:leader="none"/>
          <w:tab w:val="right" w:pos="9911" w:leader="dot"/>
        </w:tabs>
        <w:rPr>
          <w:color w:val="000000"/>
        </w:rPr>
      </w:pPr>
      <w:r>
        <w:rPr>
          <w:color w:val="000000"/>
        </w:rPr>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rFonts w:eastAsia="" w:cs="" w:cstheme="minorBidi" w:eastAsiaTheme="minorEastAsia" w:ascii="Calibri" w:hAnsi="Calibri"/>
          <w:b w:val="false"/>
          <w:bCs w:val="false"/>
          <w:sz w:val="22"/>
          <w:szCs w:val="22"/>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_RefHeading___Toc1881_2473218281"/>
      <w:bookmarkStart w:id="1" w:name="_Toc51339692"/>
      <w:bookmarkStart w:id="2" w:name="_Toc75446566"/>
      <w:bookmarkEnd w:id="0"/>
      <w:r>
        <w:rPr>
          <w:lang w:val="ru-RU"/>
        </w:rPr>
        <w:t>Общие сведения</w:t>
      </w:r>
      <w:bookmarkEnd w:id="1"/>
      <w:bookmarkEnd w:id="2"/>
    </w:p>
    <w:p>
      <w:pPr>
        <w:pStyle w:val="Heading4"/>
        <w:numPr>
          <w:ilvl w:val="1"/>
          <w:numId w:val="3"/>
        </w:numPr>
        <w:rPr/>
      </w:pPr>
      <w:bookmarkStart w:id="3" w:name="__RefHeading___Toc1883_2473218281"/>
      <w:bookmarkStart w:id="4" w:name="_Toc75446567"/>
      <w:bookmarkStart w:id="5" w:name="_Toc46743505"/>
      <w:bookmarkEnd w:id="3"/>
      <w:r>
        <w:rPr/>
        <w:t>Обозначения и сокращения</w:t>
      </w:r>
      <w:bookmarkEnd w:id="4"/>
      <w:bookmarkEnd w:id="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7379"/>
      </w:tblGrid>
      <w:tr>
        <w:trPr>
          <w:trHeight w:val="358" w:hRule="atLeast"/>
          <w:cantSplit w:val="true"/>
        </w:trPr>
        <w:tc>
          <w:tcPr>
            <w:tcW w:w="2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Cs/>
                <w:sz w:val="24"/>
                <w:szCs w:val="24"/>
              </w:rPr>
            </w:pPr>
            <w:r>
              <w:rPr>
                <w:sz w:val="24"/>
                <w:szCs w:val="24"/>
              </w:rPr>
              <w:t>ТТ</w:t>
            </w:r>
          </w:p>
        </w:tc>
        <w:tc>
          <w:tcPr>
            <w:tcW w:w="7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Технические требования</w:t>
            </w:r>
          </w:p>
        </w:tc>
      </w:tr>
      <w:tr>
        <w:trPr>
          <w:trHeight w:val="251" w:hRule="atLeast"/>
          <w:cantSplit w:val="true"/>
        </w:trPr>
        <w:tc>
          <w:tcPr>
            <w:tcW w:w="2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ПД</w:t>
            </w:r>
          </w:p>
        </w:tc>
        <w:tc>
          <w:tcPr>
            <w:tcW w:w="7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Проект договора</w:t>
            </w:r>
          </w:p>
        </w:tc>
      </w:tr>
      <w:tr>
        <w:trPr>
          <w:trHeight w:val="251" w:hRule="atLeast"/>
          <w:cantSplit w:val="true"/>
        </w:trPr>
        <w:tc>
          <w:tcPr>
            <w:tcW w:w="2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sz w:val="24"/>
                <w:szCs w:val="24"/>
              </w:rPr>
            </w:pPr>
            <w:r>
              <w:rPr>
                <w:sz w:val="24"/>
                <w:szCs w:val="24"/>
              </w:rPr>
              <w:t>АО "ТК РусГидро"</w:t>
            </w:r>
          </w:p>
        </w:tc>
        <w:tc>
          <w:tcPr>
            <w:tcW w:w="7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Акционерное общество Транспортная компания РусГидро</w:t>
            </w:r>
          </w:p>
        </w:tc>
      </w:tr>
      <w:tr>
        <w:trPr>
          <w:trHeight w:val="251" w:hRule="atLeast"/>
          <w:cantSplit w:val="true"/>
        </w:trPr>
        <w:tc>
          <w:tcPr>
            <w:tcW w:w="2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sz w:val="24"/>
                <w:szCs w:val="24"/>
              </w:rPr>
            </w:pPr>
            <w:r>
              <w:rPr>
                <w:sz w:val="24"/>
                <w:szCs w:val="24"/>
              </w:rPr>
              <w:t>ТР ТС</w:t>
            </w:r>
          </w:p>
        </w:tc>
        <w:tc>
          <w:tcPr>
            <w:tcW w:w="7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bCs/>
                <w:iCs/>
                <w:sz w:val="24"/>
                <w:szCs w:val="24"/>
              </w:rPr>
              <w:t>Технический регламент Таможенного Союза</w:t>
            </w:r>
          </w:p>
        </w:tc>
      </w:tr>
      <w:tr>
        <w:trPr>
          <w:trHeight w:val="251" w:hRule="atLeast"/>
          <w:cantSplit w:val="true"/>
        </w:trPr>
        <w:tc>
          <w:tcPr>
            <w:tcW w:w="240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sz w:val="24"/>
                <w:szCs w:val="24"/>
              </w:rPr>
            </w:pPr>
            <w:r>
              <w:rPr>
                <w:sz w:val="24"/>
                <w:szCs w:val="24"/>
              </w:rPr>
              <w:t>УФ</w:t>
            </w:r>
          </w:p>
        </w:tc>
        <w:tc>
          <w:tcPr>
            <w:tcW w:w="7379"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ультрафиолетового</w:t>
            </w:r>
          </w:p>
        </w:tc>
      </w:tr>
    </w:tbl>
    <w:p>
      <w:pPr>
        <w:pStyle w:val="Normal"/>
        <w:rPr>
          <w:rStyle w:val="Style8"/>
          <w:b w:val="false"/>
          <w:bCs/>
          <w:iCs/>
          <w:sz w:val="26"/>
          <w:szCs w:val="26"/>
        </w:rPr>
      </w:pPr>
      <w:r>
        <w:rPr>
          <w:b w:val="false"/>
          <w:bCs/>
          <w:iCs/>
          <w:sz w:val="26"/>
          <w:szCs w:val="26"/>
        </w:rPr>
      </w:r>
    </w:p>
    <w:p>
      <w:pPr>
        <w:pStyle w:val="Normal"/>
        <w:keepNext w:val="true"/>
        <w:keepLines/>
        <w:jc w:val="both"/>
        <w:rPr>
          <w:sz w:val="24"/>
          <w:szCs w:val="24"/>
        </w:rPr>
      </w:pPr>
      <w:r>
        <w:rPr>
          <w:sz w:val="24"/>
          <w:szCs w:val="24"/>
        </w:rPr>
      </w:r>
    </w:p>
    <w:p>
      <w:pPr>
        <w:pStyle w:val="Heading4"/>
        <w:numPr>
          <w:ilvl w:val="1"/>
          <w:numId w:val="3"/>
        </w:numPr>
        <w:rPr/>
      </w:pPr>
      <w:bookmarkStart w:id="6" w:name="__RefHeading___Toc1885_2473218281"/>
      <w:bookmarkStart w:id="7" w:name="_Toc46743506"/>
      <w:bookmarkStart w:id="8" w:name="_Toc75446568"/>
      <w:bookmarkEnd w:id="6"/>
      <w:r>
        <w:rPr/>
        <w:t>Наименование закупаемой продукции</w:t>
      </w:r>
      <w:bookmarkEnd w:id="7"/>
      <w:bookmarkEnd w:id="8"/>
    </w:p>
    <w:p>
      <w:pPr>
        <w:pStyle w:val="Normal"/>
        <w:rPr>
          <w:sz w:val="32"/>
          <w:szCs w:val="32"/>
        </w:rPr>
      </w:pPr>
      <w:r>
        <w:rPr>
          <w:rFonts w:eastAsia="Calibri"/>
          <w:color w:val="000000"/>
          <w:sz w:val="24"/>
          <w:szCs w:val="24"/>
        </w:rPr>
        <w:t>О</w:t>
      </w:r>
      <w:r>
        <w:rPr>
          <w:color w:val="000000"/>
          <w:sz w:val="24"/>
          <w:szCs w:val="24"/>
        </w:rPr>
        <w:t xml:space="preserve">КПД2 </w:t>
      </w:r>
      <w:r>
        <w:rPr>
          <w:rFonts w:ascii="YS Text;apple-system;BlinkMacSystemFont;Arial;Helvetica;Arial Unicode MS;sans-serif" w:hAnsi="YS Text;apple-system;BlinkMacSystemFont;Arial;Helvetica;Arial Unicode MS;sans-serif"/>
          <w:b w:val="false"/>
          <w:i w:val="false"/>
          <w:caps w:val="false"/>
          <w:smallCaps w:val="false"/>
          <w:color w:val="000000"/>
          <w:spacing w:val="0"/>
          <w:sz w:val="24"/>
          <w:szCs w:val="24"/>
        </w:rPr>
        <w:t>20.42.15.149</w:t>
      </w:r>
      <w:r>
        <w:rPr>
          <w:color w:val="000000"/>
          <w:sz w:val="24"/>
          <w:szCs w:val="24"/>
        </w:rPr>
        <w:t>. Поставка смывающих и обезвреживающих средств для нужд Саяно-Шушенского филиала АО "ТК РусГидро"</w:t>
      </w:r>
    </w:p>
    <w:p>
      <w:pPr>
        <w:pStyle w:val="Heading4"/>
        <w:numPr>
          <w:ilvl w:val="1"/>
          <w:numId w:val="3"/>
        </w:numPr>
        <w:spacing w:before="240" w:after="60"/>
        <w:ind w:left="431" w:hanging="431"/>
        <w:rPr/>
      </w:pPr>
      <w:bookmarkStart w:id="9" w:name="__RefHeading___Toc1887_2473218281"/>
      <w:bookmarkStart w:id="10" w:name="_Toc75446569"/>
      <w:bookmarkStart w:id="11" w:name="_Toc46743507"/>
      <w:bookmarkEnd w:id="9"/>
      <w:r>
        <w:rPr/>
        <w:t xml:space="preserve">Цель </w:t>
      </w:r>
      <w:bookmarkEnd w:id="11"/>
      <w:r>
        <w:rPr>
          <w:lang w:val="ru-RU"/>
        </w:rPr>
        <w:t xml:space="preserve">использования закупаемой продукции </w:t>
      </w:r>
      <w:bookmarkEnd w:id="10"/>
      <w:r>
        <w:rPr/>
        <w:t xml:space="preserve"> </w:t>
      </w:r>
    </w:p>
    <w:p>
      <w:pPr>
        <w:pStyle w:val="Normal"/>
        <w:rPr>
          <w:sz w:val="24"/>
          <w:szCs w:val="24"/>
          <w:lang w:val="x-none" w:eastAsia="x-none"/>
        </w:rPr>
      </w:pPr>
      <w:r>
        <w:rPr>
          <w:sz w:val="24"/>
          <w:szCs w:val="24"/>
          <w:lang w:val="x-none" w:eastAsia="x-none"/>
        </w:rPr>
        <w:t>Обеспечение персонала смывающими и обезвреживающими средствами.</w:t>
      </w:r>
    </w:p>
    <w:p>
      <w:pPr>
        <w:pStyle w:val="Heading1"/>
        <w:tabs>
          <w:tab w:val="clear" w:pos="0"/>
        </w:tabs>
        <w:ind w:left="34" w:hanging="0"/>
        <w:rPr>
          <w:sz w:val="24"/>
          <w:szCs w:val="24"/>
        </w:rPr>
      </w:pPr>
      <w:r>
        <w:rPr>
          <w:sz w:val="24"/>
          <w:szCs w:val="24"/>
        </w:rPr>
      </w:r>
    </w:p>
    <w:p>
      <w:pPr>
        <w:pStyle w:val="Heading1"/>
        <w:keepLines/>
        <w:numPr>
          <w:ilvl w:val="0"/>
          <w:numId w:val="3"/>
        </w:numPr>
        <w:ind w:left="357" w:hanging="357"/>
        <w:jc w:val="center"/>
        <w:rPr>
          <w:iCs/>
          <w:caps/>
          <w:lang w:val="ru-RU"/>
        </w:rPr>
      </w:pPr>
      <w:bookmarkStart w:id="12" w:name="__RefHeading___Toc1889_2473218281"/>
      <w:bookmarkStart w:id="13" w:name="_Toc75446573"/>
      <w:bookmarkStart w:id="14" w:name="_Toc51339693"/>
      <w:bookmarkStart w:id="15" w:name="_Toc46743510"/>
      <w:bookmarkStart w:id="16" w:name="_Toc50125126"/>
      <w:bookmarkEnd w:id="12"/>
      <w:bookmarkEnd w:id="15"/>
      <w:bookmarkEnd w:id="16"/>
      <w:r>
        <w:rPr>
          <w:iCs/>
        </w:rPr>
        <w:t>Требования к продукции</w:t>
      </w:r>
      <w:bookmarkEnd w:id="13"/>
      <w:bookmarkEnd w:id="14"/>
    </w:p>
    <w:p>
      <w:pPr>
        <w:pStyle w:val="Heading4"/>
        <w:numPr>
          <w:ilvl w:val="1"/>
          <w:numId w:val="3"/>
        </w:numPr>
        <w:rPr/>
      </w:pPr>
      <w:bookmarkStart w:id="17" w:name="__RefHeading___Toc1891_2473218281"/>
      <w:bookmarkStart w:id="18" w:name="_Toc75446574"/>
      <w:bookmarkEnd w:id="17"/>
      <w:r>
        <w:rPr/>
        <w:t xml:space="preserve">Требования к объемам и срокам </w:t>
      </w:r>
      <w:r>
        <w:rPr>
          <w:lang w:val="ru-RU"/>
        </w:rPr>
        <w:t>поставки</w:t>
      </w:r>
      <w:bookmarkEnd w:id="18"/>
    </w:p>
    <w:p>
      <w:pPr>
        <w:pStyle w:val="Heading3"/>
        <w:numPr>
          <w:ilvl w:val="2"/>
          <w:numId w:val="3"/>
        </w:numPr>
        <w:rPr/>
      </w:pPr>
      <w:bookmarkStart w:id="19" w:name="__RefHeading___Toc1893_2473218281"/>
      <w:bookmarkStart w:id="20" w:name="_Toc75446575"/>
      <w:bookmarkEnd w:id="19"/>
      <w:r>
        <w:rPr>
          <w:lang w:val="ru-RU"/>
        </w:rPr>
        <w:t>Перечень и объем закупаемой продукции</w:t>
      </w:r>
      <w:bookmarkEnd w:id="20"/>
    </w:p>
    <w:p>
      <w:pPr>
        <w:pStyle w:val="Heading3"/>
        <w:tabs>
          <w:tab w:val="clear" w:pos="0"/>
        </w:tabs>
        <w:ind w:left="0" w:hanging="0"/>
        <w:rPr/>
      </w:pPr>
      <w:bookmarkStart w:id="21" w:name="__RefHeading___Toc1895_2473218281"/>
      <w:bookmarkStart w:id="22" w:name="_Toc75446576"/>
      <w:bookmarkStart w:id="23" w:name="_Toc51339695"/>
      <w:bookmarkEnd w:id="21"/>
      <w:r>
        <w:rPr/>
        <w:t xml:space="preserve">Таблица </w:t>
      </w:r>
      <w:r>
        <w:rPr>
          <w:lang w:val="ru-RU"/>
        </w:rPr>
        <w:t>1</w:t>
      </w:r>
      <w:r>
        <w:rPr/>
        <w:t xml:space="preserve"> </w:t>
      </w:r>
      <w:r>
        <w:rPr>
          <w:lang w:val="ru-RU"/>
        </w:rPr>
        <w:t xml:space="preserve">Перечень </w:t>
      </w:r>
      <w:bookmarkEnd w:id="23"/>
      <w:r>
        <w:rPr>
          <w:lang w:val="ru-RU"/>
        </w:rPr>
        <w:t>и объем закупаемой продукции</w:t>
      </w:r>
      <w:bookmarkEnd w:id="22"/>
    </w:p>
    <w:tbl>
      <w:tblPr>
        <w:tblW w:w="9812" w:type="dxa"/>
        <w:jc w:val="left"/>
        <w:tblInd w:w="221" w:type="dxa"/>
        <w:tblLayout w:type="fixed"/>
        <w:tblCellMar>
          <w:top w:w="0" w:type="dxa"/>
          <w:left w:w="108" w:type="dxa"/>
          <w:bottom w:w="0" w:type="dxa"/>
          <w:right w:w="108" w:type="dxa"/>
        </w:tblCellMar>
        <w:tblLook w:val="0000" w:noHBand="0" w:noVBand="0" w:firstColumn="0" w:lastRow="0" w:lastColumn="0" w:firstRow="0"/>
      </w:tblPr>
      <w:tblGrid>
        <w:gridCol w:w="835"/>
        <w:gridCol w:w="6141"/>
        <w:gridCol w:w="1426"/>
        <w:gridCol w:w="1409"/>
      </w:tblGrid>
      <w:tr>
        <w:trPr/>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61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продукции</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1.</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Мыло жидкое объем 250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1944</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Крем гидрофобного действия объем 100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132</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Спрей для защиты от биологических вредных факторов (от укусов членистоногих) объем 200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138</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4.</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Крем регенерирующий восстанавливающий для кожи рук и лица 100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1944</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Крем защитный гидрофильного действия для кожи рук и лица объем 100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132</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w:t>
            </w:r>
          </w:p>
        </w:tc>
        <w:tc>
          <w:tcPr>
            <w:tcW w:w="61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4"/>
                <w:szCs w:val="24"/>
              </w:rPr>
              <w:t>Паста для кожи очищающая от устойчивых загрязнений  объем 200 мл.</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top w:val="single" w:sz="4" w:space="0" w:color="000000"/>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396</w:t>
            </w:r>
          </w:p>
        </w:tc>
      </w:tr>
      <w:tr>
        <w:trPr/>
        <w:tc>
          <w:tcPr>
            <w:tcW w:w="835"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7.</w:t>
            </w:r>
          </w:p>
        </w:tc>
        <w:tc>
          <w:tcPr>
            <w:tcW w:w="6141" w:type="dxa"/>
            <w:tcBorders>
              <w:left w:val="single" w:sz="4" w:space="0" w:color="000000"/>
              <w:bottom w:val="single" w:sz="4" w:space="0" w:color="000000"/>
              <w:right w:val="single" w:sz="4" w:space="0" w:color="000000"/>
            </w:tcBorders>
          </w:tcPr>
          <w:p>
            <w:pPr>
              <w:pStyle w:val="Normal"/>
              <w:widowControl w:val="false"/>
              <w:rPr/>
            </w:pPr>
            <w:r>
              <w:rPr>
                <w:color w:val="000000"/>
                <w:sz w:val="24"/>
                <w:szCs w:val="24"/>
              </w:rPr>
              <w:t>Спрей для ног с противогрибковым действием объем 100 мл.</w:t>
            </w:r>
          </w:p>
        </w:tc>
        <w:tc>
          <w:tcPr>
            <w:tcW w:w="1426"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1944</w:t>
            </w:r>
          </w:p>
        </w:tc>
      </w:tr>
      <w:tr>
        <w:trPr/>
        <w:tc>
          <w:tcPr>
            <w:tcW w:w="835"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8.</w:t>
            </w:r>
          </w:p>
        </w:tc>
        <w:tc>
          <w:tcPr>
            <w:tcW w:w="6141" w:type="dxa"/>
            <w:tcBorders>
              <w:left w:val="single" w:sz="4" w:space="0" w:color="000000"/>
              <w:bottom w:val="single" w:sz="4" w:space="0" w:color="000000"/>
              <w:right w:val="single" w:sz="4" w:space="0" w:color="000000"/>
            </w:tcBorders>
          </w:tcPr>
          <w:p>
            <w:pPr>
              <w:pStyle w:val="Normal"/>
              <w:widowControl w:val="false"/>
              <w:rPr/>
            </w:pPr>
            <w:r>
              <w:rPr>
                <w:color w:val="000000"/>
                <w:sz w:val="24"/>
                <w:szCs w:val="24"/>
              </w:rPr>
              <w:t>Крем для защиты кожи от УФ излучения диапазонов А, В, С объем 100 мл.</w:t>
            </w:r>
          </w:p>
        </w:tc>
        <w:tc>
          <w:tcPr>
            <w:tcW w:w="1426"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45</w:t>
            </w:r>
          </w:p>
        </w:tc>
      </w:tr>
      <w:tr>
        <w:trPr/>
        <w:tc>
          <w:tcPr>
            <w:tcW w:w="835"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9.</w:t>
            </w:r>
          </w:p>
        </w:tc>
        <w:tc>
          <w:tcPr>
            <w:tcW w:w="6141" w:type="dxa"/>
            <w:tcBorders>
              <w:left w:val="single" w:sz="4" w:space="0" w:color="000000"/>
              <w:bottom w:val="single" w:sz="4" w:space="0" w:color="000000"/>
              <w:right w:val="single" w:sz="4" w:space="0" w:color="000000"/>
            </w:tcBorders>
          </w:tcPr>
          <w:p>
            <w:pPr>
              <w:pStyle w:val="Normal"/>
              <w:widowControl w:val="false"/>
              <w:rPr/>
            </w:pPr>
            <w:r>
              <w:rPr>
                <w:color w:val="000000"/>
                <w:sz w:val="24"/>
                <w:szCs w:val="24"/>
              </w:rPr>
              <w:t>Гель для рук дезинфицирующий объем 100 мл.</w:t>
            </w:r>
          </w:p>
        </w:tc>
        <w:tc>
          <w:tcPr>
            <w:tcW w:w="1426"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132</w:t>
            </w:r>
          </w:p>
        </w:tc>
      </w:tr>
      <w:tr>
        <w:trPr/>
        <w:tc>
          <w:tcPr>
            <w:tcW w:w="835"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10.</w:t>
            </w:r>
          </w:p>
        </w:tc>
        <w:tc>
          <w:tcPr>
            <w:tcW w:w="6141" w:type="dxa"/>
            <w:tcBorders>
              <w:left w:val="single" w:sz="4" w:space="0" w:color="000000"/>
              <w:bottom w:val="single" w:sz="4" w:space="0" w:color="000000"/>
              <w:right w:val="single" w:sz="4" w:space="0" w:color="000000"/>
            </w:tcBorders>
          </w:tcPr>
          <w:p>
            <w:pPr>
              <w:pStyle w:val="Normal"/>
              <w:widowControl w:val="false"/>
              <w:rPr/>
            </w:pPr>
            <w:r>
              <w:rPr>
                <w:color w:val="000000"/>
                <w:sz w:val="24"/>
                <w:szCs w:val="24"/>
              </w:rPr>
              <w:t>Крем от негативного влияния окружающей среды для защиты кожи в условиях пониженных температур, ветра  объем 100 мл.</w:t>
            </w:r>
          </w:p>
        </w:tc>
        <w:tc>
          <w:tcPr>
            <w:tcW w:w="1426"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1409"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sz w:val="24"/>
              </w:rPr>
            </w:pPr>
            <w:r>
              <w:rPr>
                <w:sz w:val="24"/>
              </w:rPr>
              <w:t>18</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rPr>
          <w:lang w:val="ru-RU"/>
        </w:rPr>
      </w:pPr>
      <w:bookmarkStart w:id="24" w:name="__RefHeading___Toc1897_2473218281"/>
      <w:bookmarkStart w:id="25" w:name="_Toc75446578"/>
      <w:bookmarkStart w:id="26" w:name="_Toc51339696"/>
      <w:bookmarkEnd w:id="24"/>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7" w:name="__RefHeading___Toc1899_2473218281"/>
      <w:bookmarkStart w:id="28" w:name="_Toc75446579"/>
      <w:bookmarkStart w:id="29" w:name="_Toc50125127"/>
      <w:bookmarkStart w:id="30" w:name="_Toc51339697"/>
      <w:bookmarkStart w:id="31" w:name="_Toc50125126_Копия_1"/>
      <w:bookmarkEnd w:id="27"/>
      <w:bookmarkEnd w:id="31"/>
      <w:r>
        <w:rPr>
          <w:sz w:val="24"/>
          <w:szCs w:val="24"/>
        </w:rPr>
        <w:t xml:space="preserve">Таблица </w:t>
      </w:r>
      <w:r>
        <w:rPr>
          <w:sz w:val="24"/>
          <w:szCs w:val="24"/>
          <w:lang w:val="ru-RU"/>
        </w:rPr>
        <w:t>2</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продукции</w:t>
      </w:r>
      <w:bookmarkEnd w:id="28"/>
      <w:r>
        <w:rPr>
          <w:sz w:val="24"/>
          <w:szCs w:val="24"/>
          <w:lang w:val="ru-RU"/>
        </w:rPr>
        <w:t xml:space="preserve"> </w:t>
      </w:r>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30"/>
        <w:gridCol w:w="2550"/>
        <w:gridCol w:w="2979"/>
        <w:gridCol w:w="3116"/>
      </w:tblGrid>
      <w:tr>
        <w:trPr/>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9"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sz w:val="24"/>
                <w:szCs w:val="24"/>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sz w:val="24"/>
                <w:szCs w:val="24"/>
              </w:rPr>
            </w:pPr>
            <w:r>
              <w:rPr>
                <w:b/>
                <w:sz w:val="24"/>
                <w:szCs w:val="24"/>
              </w:rPr>
              <w:t>4</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7"/>
              </w:numPr>
              <w:jc w:val="center"/>
              <w:rPr/>
            </w:pPr>
            <w:r>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Смывающие и обезвреживающие средства</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До 01.07.2027г</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33" w:name="__RefHeading___Toc1901_2473218281"/>
      <w:bookmarkStart w:id="34" w:name="_Toc51339698"/>
      <w:bookmarkStart w:id="35" w:name="_Toc75446581"/>
      <w:bookmarkStart w:id="36" w:name="_Toc46743511"/>
      <w:bookmarkEnd w:id="33"/>
      <w:r>
        <w:rPr/>
        <w:t xml:space="preserve">Требования к </w:t>
      </w:r>
      <w:bookmarkEnd w:id="36"/>
      <w:r>
        <w:rPr>
          <w:lang w:val="ru-RU"/>
        </w:rPr>
        <w:t>качеству продукции</w:t>
      </w:r>
      <w:bookmarkEnd w:id="35"/>
    </w:p>
    <w:p>
      <w:pPr>
        <w:pStyle w:val="Heading1"/>
        <w:keepLines/>
        <w:tabs>
          <w:tab w:val="clear" w:pos="0"/>
        </w:tabs>
        <w:spacing w:before="240" w:after="60"/>
        <w:ind w:left="0" w:hanging="0"/>
        <w:rPr>
          <w:rStyle w:val="Style8"/>
          <w:b/>
          <w:i w:val="false"/>
          <w:i w:val="false"/>
          <w:sz w:val="24"/>
          <w:szCs w:val="24"/>
          <w:shd w:fill="auto" w:val="clear"/>
        </w:rPr>
      </w:pPr>
      <w:bookmarkStart w:id="37" w:name="__RefHeading___Toc1903_2473218281"/>
      <w:bookmarkEnd w:id="37"/>
      <w:r>
        <w:rPr>
          <w:sz w:val="24"/>
          <w:szCs w:val="24"/>
        </w:rPr>
        <w:t xml:space="preserve"> </w:t>
      </w:r>
      <w:bookmarkStart w:id="38" w:name="_Toc7544658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8"/>
      <w:r>
        <w:rPr>
          <w:sz w:val="24"/>
          <w:szCs w:val="24"/>
        </w:rPr>
        <w:t xml:space="preserve"> </w:t>
      </w:r>
      <w:bookmarkEnd w:id="34"/>
    </w:p>
    <w:p>
      <w:pPr>
        <w:pStyle w:val="Normal"/>
        <w:rPr/>
      </w:pPr>
      <w:r>
        <w:rPr>
          <w:rStyle w:val="Style8"/>
          <w:b w:val="false"/>
          <w:i w:val="false"/>
          <w:sz w:val="24"/>
          <w:szCs w:val="24"/>
          <w:shd w:fill="auto" w:val="clear"/>
        </w:rPr>
        <w:t>Наименование продукции (позиции с 1 по 10 Таблицы 1): требования к продукции установлены для всех позиций указанных в Таблице 1.</w:t>
      </w:r>
    </w:p>
    <w:p>
      <w:pPr>
        <w:pStyle w:val="Normal"/>
        <w:rPr/>
      </w:pPr>
      <w:r>
        <w:rPr>
          <w:rStyle w:val="Style8"/>
          <w:b w:val="false"/>
          <w:i w:val="false"/>
          <w:sz w:val="24"/>
          <w:szCs w:val="24"/>
          <w:shd w:fill="auto" w:val="clear"/>
        </w:rPr>
        <w:t>Перечень и объем закупаемой продукции</w:t>
      </w:r>
    </w:p>
    <w:tbl>
      <w:tblPr>
        <w:tblStyle w:val="affff8"/>
        <w:tblW w:w="1531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1"/>
        <w:gridCol w:w="1908"/>
        <w:gridCol w:w="3360"/>
        <w:gridCol w:w="2835"/>
        <w:gridCol w:w="3345"/>
        <w:gridCol w:w="3015"/>
      </w:tblGrid>
      <w:tr>
        <w:trPr/>
        <w:tc>
          <w:tcPr>
            <w:tcW w:w="85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1908"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36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6180"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301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85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1908"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36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83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3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3015"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51"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1908"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3360"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83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334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301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85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c>
          <w:tcPr>
            <w:tcW w:w="283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Мыло жидкое</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250мл.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«флакон с дозирующим устройством»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Отсутствие в составе: парабенов, силиконов, красителей.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гидрофильного действия</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предназначен для защиты кожи рук и лица от водонерастворимых вредных веществ.</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Паста для кожи очищающая от устойчивых загрязнений</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200мл.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«туба»  Паста предназначена для быстрой ежедневной очистки открытых участков кожи от широкого спектра устойчивых загрязнений (графит, металлическая пыль, угольная пыль, смолы, битум и др.). Не содержит мыла и растворителей.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Совместимость для защиты чувствительной кожи. Желательно содержание витаминного комплекса.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регенерирующий восстанавливающий для кожи рук и лица</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Восстанавливающий регенерирующий крем. Восстанавливает кожу после негативного воздействия широкого спектра вредных производственных факторов и окружающей среды (низкие температуры, ветер, снег, ультрафиолетовое излучение и др.).</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Спрей для защиты от биологических вредных факторов (от укусов членистоногих)</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200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«флакон с дозирующим устройством»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Репеллент широкого спектра действия предназначен для защиты от нападения кровососущих насекомых (комаров, мокрецов, москитов, мошки, слепней, клещей) Обладает нейтральным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запахом.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Предназначен для нанесения на одежду</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открытые участки кожи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защитный гидрофобного действия для кожи рук и лица</w:t>
            </w:r>
          </w:p>
        </w:tc>
        <w:tc>
          <w:tcPr>
            <w:tcW w:w="33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упаковка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предназначен для защиты кожи рук и лица от водорастворимых веществ (СОЖ на водной основе, дезинфицирующих средств, растворов цемента, извести, кислот, щелочей, солей, эмульсий на водной основе). Образует воздухопроницаемый защитный слой на коже, препятствует проникновению вредных веществ. Быстро впитывается.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Не содержит вредных компонентов и силиконов, не вызывает раздражения и аллергических реакций. Подходит для защиты чувствительной кожи.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3015"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для защиты кожи от УФ излучения диапазонов А, В, С.</w:t>
            </w:r>
          </w:p>
        </w:tc>
        <w:tc>
          <w:tcPr>
            <w:tcW w:w="3360"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упаковка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Эффективно защищает кожу</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от ультрафиолетового излучения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диапазонов А, В и С. Крем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обеспечивает защиту длительное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время, устойчив к поту и пресной воде,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интенсивно питает и увлажняет кожу.</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Подходит для чувствительной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раздраженной кожи.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c>
          <w:tcPr>
            <w:tcW w:w="3345" w:type="dxa"/>
            <w:tcBorders>
              <w:top w:val="nil"/>
            </w:tcBorders>
            <w:shd w:color="auto" w:fill="auto" w:val="clear"/>
          </w:tcPr>
          <w:p>
            <w:pPr>
              <w:pStyle w:val="Normal"/>
              <w:widowControl w:val="false"/>
              <w:suppressAutoHyphens w:val="true"/>
              <w:spacing w:before="0" w:after="0"/>
              <w:jc w:val="center"/>
              <w:rPr>
                <w:sz w:val="24"/>
                <w:szCs w:val="24"/>
              </w:rPr>
            </w:pPr>
            <w:r>
              <w:rPr>
                <w:sz w:val="24"/>
                <w:szCs w:val="24"/>
              </w:rPr>
            </w:r>
          </w:p>
        </w:tc>
        <w:tc>
          <w:tcPr>
            <w:tcW w:w="301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Спрей для ног с противогрибковым действием</w:t>
            </w:r>
          </w:p>
        </w:tc>
        <w:tc>
          <w:tcPr>
            <w:tcW w:w="3360"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Фасовка «флакон с дозирующим устройством»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Предназначен для защиты кожи ног</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рук от чрезмерного потоотделения.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Дезодорирует и ухаживает за кожей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при длительном нахождении в закрытой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обуви и перчатках, обеспечивает</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эффективную профилактику грибковых</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инфекций. Спрей обладает</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охлаждающим, антибактериальным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фунгицидным действием.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 должен соответствовать</w:t>
            </w:r>
          </w:p>
        </w:tc>
        <w:tc>
          <w:tcPr>
            <w:tcW w:w="283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c>
          <w:tcPr>
            <w:tcW w:w="3345" w:type="dxa"/>
            <w:tcBorders>
              <w:top w:val="nil"/>
            </w:tcBorders>
            <w:shd w:color="auto" w:fill="auto" w:val="clear"/>
          </w:tcPr>
          <w:p>
            <w:pPr>
              <w:pStyle w:val="Normal"/>
              <w:widowControl w:val="false"/>
              <w:suppressAutoHyphens w:val="true"/>
              <w:spacing w:before="0" w:after="0"/>
              <w:jc w:val="center"/>
              <w:rPr>
                <w:sz w:val="24"/>
                <w:szCs w:val="24"/>
              </w:rPr>
            </w:pPr>
            <w:r>
              <w:rPr>
                <w:sz w:val="24"/>
                <w:szCs w:val="24"/>
              </w:rPr>
            </w:r>
          </w:p>
        </w:tc>
        <w:tc>
          <w:tcPr>
            <w:tcW w:w="301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Гель для рук дезинфицирующий</w:t>
            </w:r>
          </w:p>
        </w:tc>
        <w:tc>
          <w:tcPr>
            <w:tcW w:w="3360"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упаковка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Гель предназначен для дезинфекции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гигиенической обработки кожи,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обладает необходимой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антимикробной активностью</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c>
          <w:tcPr>
            <w:tcW w:w="3345" w:type="dxa"/>
            <w:tcBorders>
              <w:top w:val="nil"/>
            </w:tcBorders>
            <w:shd w:color="auto" w:fill="auto" w:val="clear"/>
          </w:tcPr>
          <w:p>
            <w:pPr>
              <w:pStyle w:val="Normal"/>
              <w:widowControl w:val="false"/>
              <w:suppressAutoHyphens w:val="true"/>
              <w:spacing w:before="0" w:after="0"/>
              <w:jc w:val="center"/>
              <w:rPr>
                <w:sz w:val="24"/>
                <w:szCs w:val="24"/>
              </w:rPr>
            </w:pPr>
            <w:r>
              <w:rPr>
                <w:sz w:val="24"/>
                <w:szCs w:val="24"/>
              </w:rPr>
            </w:r>
          </w:p>
        </w:tc>
        <w:tc>
          <w:tcPr>
            <w:tcW w:w="301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908"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Крем от негативного влияния окружающей среды для защиты кожи в условиях пониженных температур, ветра</w:t>
            </w:r>
          </w:p>
        </w:tc>
        <w:tc>
          <w:tcPr>
            <w:tcW w:w="3360"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Объем: 100 мл</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упаковка «туба»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Предназначен для защиты кожи лица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 рук от неблагоприятных воздействий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окружающей среды: мороз, холодная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ветреная погода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Срок годности с момента изготовления: не менее 30 месяцев.</w:t>
            </w:r>
          </w:p>
        </w:tc>
        <w:tc>
          <w:tcPr>
            <w:tcW w:w="283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c>
          <w:tcPr>
            <w:tcW w:w="3345" w:type="dxa"/>
            <w:tcBorders>
              <w:top w:val="nil"/>
            </w:tcBorders>
            <w:shd w:color="auto" w:fill="auto" w:val="clear"/>
          </w:tcPr>
          <w:p>
            <w:pPr>
              <w:pStyle w:val="Normal"/>
              <w:widowControl w:val="false"/>
              <w:suppressAutoHyphens w:val="true"/>
              <w:spacing w:before="0" w:after="0"/>
              <w:jc w:val="center"/>
              <w:rPr>
                <w:sz w:val="24"/>
                <w:szCs w:val="24"/>
              </w:rPr>
            </w:pPr>
            <w:r>
              <w:rPr>
                <w:sz w:val="24"/>
                <w:szCs w:val="24"/>
              </w:rPr>
            </w:r>
          </w:p>
        </w:tc>
        <w:tc>
          <w:tcPr>
            <w:tcW w:w="3015"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kern w:val="0"/>
                <w:sz w:val="24"/>
                <w:szCs w:val="24"/>
                <w:lang w:val="ru-RU" w:eastAsia="ru-RU" w:bidi="ar-SA"/>
              </w:rPr>
              <w:t>Требования к безопасности</w:t>
            </w:r>
          </w:p>
        </w:tc>
        <w:tc>
          <w:tcPr>
            <w:tcW w:w="283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Товар должен соответствовать стандартам: </w:t>
            </w:r>
            <w:r>
              <w:rPr>
                <w:rFonts w:eastAsia="Times New Roman" w:cs="Times New Roman"/>
                <w:color w:val="000000"/>
                <w:kern w:val="0"/>
                <w:sz w:val="24"/>
                <w:szCs w:val="24"/>
                <w:lang w:val="ru-RU" w:eastAsia="ru-RU" w:bidi="ar-SA"/>
              </w:rPr>
              <w:t>ТР ТС 019/2011; иметь действующее заключение Минпромторга.</w:t>
            </w:r>
          </w:p>
        </w:tc>
        <w:tc>
          <w:tcPr>
            <w:tcW w:w="283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sz w:val="24"/>
                <w:szCs w:val="24"/>
              </w:rPr>
            </w:pPr>
            <w:r>
              <w:rPr>
                <w:b/>
                <w:sz w:val="24"/>
                <w:szCs w:val="24"/>
              </w:rPr>
            </w:r>
          </w:p>
        </w:tc>
      </w:tr>
      <w:tr>
        <w:trPr/>
        <w:tc>
          <w:tcPr>
            <w:tcW w:w="85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kern w:val="0"/>
                <w:sz w:val="24"/>
                <w:szCs w:val="24"/>
                <w:lang w:val="ru-RU" w:eastAsia="ru-RU" w:bidi="ar-SA"/>
              </w:rPr>
              <w:t>Требования к климатическому исполнению и стойкости к воздействующим климатическим факторам</w:t>
            </w:r>
          </w:p>
        </w:tc>
        <w:tc>
          <w:tcPr>
            <w:tcW w:w="283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Устойчивость продукта к пониженным температурам и выдерживание замораживания и размораживания от -20°С до +20°С</w:t>
            </w:r>
          </w:p>
        </w:tc>
        <w:tc>
          <w:tcPr>
            <w:tcW w:w="2835" w:type="dxa"/>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Согласие с требованием</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sz w:val="24"/>
                <w:szCs w:val="24"/>
              </w:rPr>
            </w:pPr>
            <w:r>
              <w:rPr>
                <w:b/>
                <w:sz w:val="24"/>
                <w:szCs w:val="24"/>
              </w:rPr>
            </w:r>
          </w:p>
        </w:tc>
      </w:tr>
      <w:tr>
        <w:trPr/>
        <w:tc>
          <w:tcPr>
            <w:tcW w:w="85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835"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c>
          <w:tcPr>
            <w:tcW w:w="3345"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r>
      <w:tr>
        <w:trPr/>
        <w:tc>
          <w:tcPr>
            <w:tcW w:w="85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Продукция, поставляемая Поставщиком должна отгружаться в таре и упаковке с использованием средств пакетирования,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Продукция, упаковка, тара должны быть надлежащим образом промаркированы. На таре и упаковке должны быть указаны:</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наименование и адрес грузоотправителя и грузополучателя;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номер Товарной накладной и/или Товарно-транспортной накладной;</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вес, брутто/нетто каждого места;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наименование Продукции;</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номера мест и их общее количество;</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весогабаритные характеристики мест;</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обозначения типа «не бросать» и другие обычно используемые обозначения.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Стоимость тары и упаковки включена в цену, тара и упаковка возврату не подлежат.</w:t>
            </w:r>
          </w:p>
          <w:p>
            <w:pPr>
              <w:pStyle w:val="Normal"/>
              <w:widowControl w:val="false"/>
              <w:jc w:val="both"/>
              <w:rPr>
                <w:color w:val="000000"/>
                <w:sz w:val="24"/>
                <w:szCs w:val="24"/>
              </w:rPr>
            </w:pPr>
            <w:r>
              <w:rPr>
                <w:color w:val="000000"/>
                <w:sz w:val="24"/>
                <w:szCs w:val="24"/>
              </w:rPr>
              <w:t>В случае обнаружения Заказчиком несоответствия наименований, количества и качества поставленного Товара Поставщик обязан заменить или допоставить Товар в течение 2 (двух) рабочих дней со дня получения от Заказчика устного или письменного уведомления (претензии) о необходимости замены или допоставки Товара.</w:t>
            </w:r>
          </w:p>
          <w:p>
            <w:pPr>
              <w:pStyle w:val="Normal"/>
              <w:widowControl w:val="false"/>
              <w:jc w:val="both"/>
              <w:rPr>
                <w:color w:val="000000"/>
                <w:sz w:val="24"/>
                <w:szCs w:val="24"/>
              </w:rPr>
            </w:pPr>
            <w:r>
              <w:rPr>
                <w:color w:val="000000"/>
                <w:sz w:val="24"/>
                <w:szCs w:val="24"/>
              </w:rPr>
              <w:t xml:space="preserve">В случае обнаружения Заказчиком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устного или письменного уведомления о них Заказчиком. </w:t>
            </w:r>
            <w:r>
              <w:rPr>
                <w:bCs/>
                <w:color w:val="000000"/>
                <w:sz w:val="24"/>
                <w:szCs w:val="24"/>
              </w:rPr>
              <w:t>Продукция без обязательных сопроводительных документов: накладная (формы ТОРГ 12), счет-фактуры  не принимается, ответственность за ее сохранность Покупатель не несет.</w:t>
            </w:r>
          </w:p>
        </w:tc>
        <w:tc>
          <w:tcPr>
            <w:tcW w:w="2835" w:type="dxa"/>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Согласие с требованием</w:t>
            </w:r>
          </w:p>
        </w:tc>
        <w:tc>
          <w:tcPr>
            <w:tcW w:w="334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268" w:type="dxa"/>
            <w:gridSpan w:val="2"/>
            <w:tcBorders>
              <w:top w:val="nil"/>
            </w:tcBorders>
            <w:shd w:color="auto" w:fill="auto" w:val="clear"/>
          </w:tcPr>
          <w:p>
            <w:pPr>
              <w:pStyle w:val="Normal"/>
              <w:widowControl w:val="false"/>
              <w:jc w:val="both"/>
              <w:rPr>
                <w:color w:val="000000"/>
                <w:sz w:val="24"/>
                <w:szCs w:val="24"/>
              </w:rPr>
            </w:pPr>
            <w:r>
              <w:rPr>
                <w:sz w:val="24"/>
                <w:szCs w:val="24"/>
              </w:rPr>
              <w:t xml:space="preserve">Доставка товара Покупателю осуществляется силами Поставщика и за его счет на склад Покупателя по адресу:  </w:t>
            </w:r>
            <w:r>
              <w:rPr>
                <w:bCs/>
                <w:color w:val="000000"/>
                <w:sz w:val="24"/>
                <w:szCs w:val="24"/>
                <w:shd w:fill="FFFFFF" w:val="clear"/>
              </w:rPr>
              <w:t>655619, Республика Хакасия, город Саяногорск, рабочий поселок Черёмушки, строение 101.</w:t>
            </w:r>
            <w:r>
              <w:rPr>
                <w:sz w:val="24"/>
                <w:szCs w:val="24"/>
              </w:rPr>
              <w:t xml:space="preserve">  </w:t>
            </w:r>
            <w:r>
              <w:rPr>
                <w:bCs/>
                <w:sz w:val="24"/>
                <w:szCs w:val="24"/>
              </w:rPr>
              <w:t>в рабочее время с 8-00 до 15-00 ч (по местному времени)</w:t>
            </w:r>
          </w:p>
        </w:tc>
        <w:tc>
          <w:tcPr>
            <w:tcW w:w="283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Согласие с требованием</w:t>
            </w:r>
          </w:p>
        </w:tc>
        <w:tc>
          <w:tcPr>
            <w:tcW w:w="3345" w:type="dxa"/>
            <w:tcBorders>
              <w:top w:val="nil"/>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01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1" w:type="dxa"/>
            <w:tcBorders>
              <w:top w:val="nil"/>
            </w:tcBorders>
            <w:vAlign w:val="center"/>
          </w:tcPr>
          <w:p>
            <w:pPr>
              <w:pStyle w:val="ListParagraph"/>
              <w:widowControl w:val="false"/>
              <w:numPr>
                <w:ilvl w:val="0"/>
                <w:numId w:val="6"/>
              </w:numPr>
              <w:suppressAutoHyphens w:val="true"/>
              <w:spacing w:before="60" w:after="60"/>
              <w:ind w:left="-117" w:firstLine="142"/>
              <w:contextualSpacing/>
              <w:jc w:val="center"/>
              <w:rPr>
                <w:b/>
                <w:bCs/>
              </w:rPr>
            </w:pPr>
            <w:r>
              <w:rPr>
                <w:b/>
                <w:bCs/>
              </w:rPr>
            </w:r>
          </w:p>
        </w:tc>
        <w:tc>
          <w:tcPr>
            <w:tcW w:w="5268" w:type="dxa"/>
            <w:gridSpan w:val="2"/>
            <w:tcBorders>
              <w:top w:val="nil"/>
            </w:tcBorders>
            <w:shd w:color="auto" w:fill="auto" w:val="clea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Прочие (дополнительные) требования к продукции</w:t>
            </w:r>
          </w:p>
        </w:tc>
        <w:tc>
          <w:tcPr>
            <w:tcW w:w="283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345" w:type="dxa"/>
            <w:tcBorders>
              <w:top w:val="nil"/>
            </w:tcBorders>
          </w:tcPr>
          <w:p>
            <w:pPr>
              <w:pStyle w:val="Normal"/>
              <w:widowControl w:val="false"/>
              <w:suppressAutoHyphens w:val="true"/>
              <w:spacing w:before="0" w:after="0"/>
              <w:jc w:val="center"/>
              <w:rPr>
                <w:b/>
                <w:sz w:val="24"/>
                <w:szCs w:val="24"/>
              </w:rPr>
            </w:pPr>
            <w:r>
              <w:rPr>
                <w:b/>
                <w:sz w:val="24"/>
                <w:szCs w:val="24"/>
              </w:rPr>
            </w:r>
          </w:p>
        </w:tc>
        <w:tc>
          <w:tcPr>
            <w:tcW w:w="301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1"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5268" w:type="dxa"/>
            <w:gridSpan w:val="2"/>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Продукция должна быть новой, ранее не использованной, дата производства товара должна быть не ранее 2027г.</w:t>
            </w:r>
          </w:p>
        </w:tc>
        <w:tc>
          <w:tcPr>
            <w:tcW w:w="283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Согласие с требованием</w:t>
            </w:r>
          </w:p>
        </w:tc>
        <w:tc>
          <w:tcPr>
            <w:tcW w:w="3345" w:type="dxa"/>
            <w:tcBorders>
              <w:top w:val="nil"/>
            </w:tcBorders>
          </w:tcPr>
          <w:p>
            <w:pPr>
              <w:pStyle w:val="Normal"/>
              <w:widowControl w:val="false"/>
              <w:suppressAutoHyphens w:val="true"/>
              <w:spacing w:before="0" w:after="0"/>
              <w:jc w:val="center"/>
              <w:rPr>
                <w:b/>
                <w:sz w:val="24"/>
                <w:szCs w:val="24"/>
              </w:rPr>
            </w:pPr>
            <w:r>
              <w:rPr>
                <w:rFonts w:eastAsia="Times New Roman" w:cs="Times New Roman"/>
                <w:kern w:val="0"/>
                <w:lang w:val="ru-RU" w:eastAsia="ru-RU" w:bidi="ar-SA"/>
              </w:rPr>
              <w:t>-</w:t>
            </w:r>
          </w:p>
        </w:tc>
        <w:tc>
          <w:tcPr>
            <w:tcW w:w="3015" w:type="dxa"/>
            <w:tcBorders>
              <w:top w:val="nil"/>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3"/>
        </w:numPr>
        <w:ind w:left="357" w:hanging="357"/>
        <w:jc w:val="center"/>
        <w:rPr>
          <w:lang w:val="ru-RU"/>
        </w:rPr>
      </w:pPr>
      <w:bookmarkStart w:id="39" w:name="__RefHeading___Toc1905_2473218281"/>
      <w:bookmarkStart w:id="40" w:name="_Toc75446583"/>
      <w:bookmarkStart w:id="41" w:name="_Toc53393312"/>
      <w:bookmarkEnd w:id="39"/>
      <w:r>
        <w:rPr>
          <w:lang w:val="ru-RU"/>
        </w:rPr>
        <w:t>Требования к документации по ценообразованию</w:t>
      </w:r>
      <w:bookmarkEnd w:id="41"/>
      <w:r>
        <w:rPr>
          <w:lang w:val="ru-RU"/>
        </w:rPr>
        <w:t xml:space="preserve"> на этапе закупки</w:t>
      </w:r>
      <w:bookmarkEnd w:id="40"/>
    </w:p>
    <w:p>
      <w:pPr>
        <w:pStyle w:val="Heading4"/>
        <w:numPr>
          <w:ilvl w:val="1"/>
          <w:numId w:val="3"/>
        </w:numPr>
        <w:rPr>
          <w:b w:val="false"/>
          <w:bCs w:val="false"/>
        </w:rPr>
      </w:pPr>
      <w:bookmarkStart w:id="42" w:name="__RefHeading___Toc1907_2473218281"/>
      <w:bookmarkStart w:id="43" w:name="_toc733"/>
      <w:bookmarkEnd w:id="42"/>
      <w:bookmarkEnd w:id="43"/>
      <w:r>
        <w:rPr>
          <w:b w:val="false"/>
          <w:bCs w:val="false"/>
        </w:rPr>
        <w:t xml:space="preserve">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w:t>
      </w:r>
    </w:p>
    <w:p>
      <w:pPr>
        <w:pStyle w:val="Heading4"/>
        <w:numPr>
          <w:ilvl w:val="1"/>
          <w:numId w:val="3"/>
        </w:numPr>
        <w:rPr>
          <w:b w:val="false"/>
          <w:bCs w:val="false"/>
        </w:rPr>
      </w:pPr>
      <w:bookmarkStart w:id="44" w:name="__RefHeading___Toc1909_2473218281"/>
      <w:bookmarkStart w:id="45" w:name="_toc734"/>
      <w:bookmarkEnd w:id="44"/>
      <w:bookmarkEnd w:id="45"/>
      <w:r>
        <w:rPr>
          <w:b w:val="false"/>
          <w:bCs w:val="false"/>
        </w:rPr>
        <w:t>Дополнительные документы по ценообразованию в состав заявки не включаются.</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8"/>
          <w:tab w:val="left" w:pos="8040" w:leader="none"/>
        </w:tabs>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Liberation Mono">
    <w:altName w:val="Courier New"/>
    <w:charset w:val="01"/>
    <w:family w:val="roman"/>
    <w:pitch w:val="variable"/>
  </w:font>
  <w:font w:name="YS Text">
    <w:altName w:val="apple-system"/>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kern w:val="0"/>
        <w:szCs w:val="24"/>
        <w:iCs/>
        <w:bCs/>
        <w:rFonts w:ascii="Times New Roman" w:hAnsi="Times New Roman" w:eastAsia="Calibri" w:cs="Times New Roman"/>
        <w:color w:val="auto"/>
        <w:lang w:val="x-none" w:eastAsia="x-none" w:bidi="ar-SA"/>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next w:val="Heading3"/>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1" w:customStyle="1">
    <w:name w:val="Strong1"/>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2"/>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0"/>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rong2">
    <w:name w:val="Strong2"/>
    <w:qFormat/>
    <w:rPr>
      <w:b/>
      <w:bCs/>
    </w:rPr>
  </w:style>
  <w:style w:type="character" w:styleId="Style15" w:customStyle="1">
    <w:name w:val="Символ нумерации"/>
    <w:qFormat/>
    <w:rPr/>
  </w:style>
  <w:style w:type="character" w:styleId="FollowedHyperlink">
    <w:name w:val="FollowedHyperlink"/>
    <w:rPr>
      <w:color w:val="800000"/>
      <w:u w:val="single"/>
    </w:rPr>
  </w:style>
  <w:style w:type="character" w:styleId="Strong">
    <w:name w:val="Strong"/>
    <w:qFormat/>
    <w:rPr>
      <w:b/>
      <w:bCs/>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Style18" w:customStyle="1">
    <w:name w:val="Название раздела инструкции"/>
    <w:basedOn w:val="Normal"/>
    <w:autoRedefine/>
    <w:qFormat/>
    <w:rsid w:val="00275328"/>
    <w:pPr>
      <w:jc w:val="center"/>
    </w:pPr>
    <w:rPr>
      <w:b/>
    </w:rPr>
  </w:style>
  <w:style w:type="paragraph" w:styleId="Style1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1"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2"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3" w:customStyle="1">
    <w:name w:val="Раздел регламента"/>
    <w:basedOn w:val="Normal"/>
    <w:qFormat/>
    <w:rsid w:val="00e228fa"/>
    <w:pPr/>
    <w:rPr/>
  </w:style>
  <w:style w:type="paragraph" w:styleId="Style2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5"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7"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9" w:customStyle="1">
    <w:name w:val="Таблица шапка"/>
    <w:basedOn w:val="Normal"/>
    <w:qFormat/>
    <w:rsid w:val="00f64089"/>
    <w:pPr>
      <w:keepNext w:val="true"/>
      <w:spacing w:before="40" w:after="40"/>
      <w:ind w:left="57" w:right="57" w:hanging="0"/>
    </w:pPr>
    <w:rPr>
      <w:sz w:val="22"/>
      <w:szCs w:val="26"/>
    </w:rPr>
  </w:style>
  <w:style w:type="paragraph" w:styleId="Style30" w:customStyle="1">
    <w:name w:val="Подподпункт"/>
    <w:basedOn w:val="Style2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1"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2"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4" w:customStyle="1">
    <w:name w:val="Содержимое врезки"/>
    <w:basedOn w:val="Normal"/>
    <w:qFormat/>
    <w:pPr/>
    <w:rPr/>
  </w:style>
  <w:style w:type="paragraph" w:styleId="Style35" w:customStyle="1">
    <w:name w:val="Текст в заданном формате"/>
    <w:basedOn w:val="Normal"/>
    <w:qFormat/>
    <w:pPr/>
    <w:rPr>
      <w:rFonts w:ascii="Liberation Mono" w:hAnsi="Liberation Mono" w:eastAsia="Liberation Mono" w:cs="Liberation Mono"/>
      <w:sz w:val="20"/>
      <w:szCs w:val="20"/>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numbering" w:styleId="123" w:customStyle="1">
    <w:name w:val="Нумерованный 123"/>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5D83-315D-4169-87AC-24A7726D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Application>AlterOffice/3.4.0.9$Linux_X86_64 LibreOffice_project/b8daf9e823b1a5463a2f48435ddc2e8696e7d4fc</Application>
  <AppVersion>15.0000</AppVersion>
  <Pages>8</Pages>
  <Words>1461</Words>
  <Characters>9232</Characters>
  <CharactersWithSpaces>10422</CharactersWithSpaces>
  <Paragraphs>274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2023-05-11T09:42:00Z</dcterms:created>
  <dc:creator>Быстров Олег Геннадьевич</dc:creator>
  <dc:description/>
  <dc:language>ru-RU</dc:language>
  <cp:lastModifiedBy>kononkovas@corp.gidroogk.com</cp:lastModifiedBy>
  <cp:lastPrinted>2024-03-21T13:37:00Z</cp:lastPrinted>
  <dcterms:modified xsi:type="dcterms:W3CDTF">2026-05-22T09:38:40Z</dcterms:modified>
  <cp:revision>35</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