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УУТВЕРЖДАЮ: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И.о. Директора Приволжского филиала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«_____» _________________ 2026 г.</w:t>
      </w:r>
    </w:p>
    <w:p>
      <w:pPr>
        <w:pStyle w:val="Normal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"/>
        </w:numPr>
        <w:spacing w:lineRule="auto" w:line="360"/>
        <w:jc w:val="left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jc w:val="left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/>
      </w:pPr>
      <w:r>
        <w:rPr>
          <w:rFonts w:eastAsia="Calibri"/>
          <w:sz w:val="28"/>
          <w:szCs w:val="28"/>
          <w:lang w:eastAsia="en-US"/>
        </w:rPr>
        <w:t>Технические требования на оказание услуг</w:t>
      </w:r>
    </w:p>
    <w:p>
      <w:pPr>
        <w:pStyle w:val="Heading1"/>
        <w:numPr>
          <w:ilvl w:val="0"/>
          <w:numId w:val="1"/>
        </w:numPr>
        <w:rPr/>
      </w:pPr>
      <w:r>
        <w:rPr/>
        <w:t>«ОКПД2: 86.90.19.190  Услуги по проведению предрейсовых и послерейсовых медицинских осмотров для нужд  Воткинского транспортного участка Приволжского филиала АО «ТК РусГидро»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szCs w:val="28"/>
        </w:rPr>
        <w:t>Лот _______-ЭКСП ПРОД-2027-ТК-ПриволФ</w:t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  <w:r>
        <w:br w:type="page"/>
      </w:r>
    </w:p>
    <w:p>
      <w:pPr>
        <w:pStyle w:val="Normal"/>
        <w:jc w:val="center"/>
        <w:rPr>
          <w:rFonts w:eastAsia="Calibri"/>
          <w:i/>
          <w:i/>
          <w:sz w:val="24"/>
          <w:szCs w:val="24"/>
          <w:lang w:eastAsia="en-US"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numPr>
          <w:ilvl w:val="0"/>
          <w:numId w:val="2"/>
        </w:numPr>
        <w:ind w:left="0" w:right="0" w:hanging="0"/>
        <w:rPr>
          <w:b w:val="false"/>
          <w:bCs w:val="false"/>
          <w:sz w:val="24"/>
          <w:szCs w:val="24"/>
        </w:rPr>
      </w:pPr>
      <w:r>
        <w:rPr>
          <w:b/>
          <w:sz w:val="24"/>
          <w:szCs w:val="24"/>
        </w:rPr>
        <w:t>Общие сведения …………………………………………………………………………… 3</w:t>
      </w:r>
    </w:p>
    <w:p>
      <w:pPr>
        <w:pStyle w:val="Normal"/>
        <w:numPr>
          <w:ilvl w:val="0"/>
          <w:numId w:val="0"/>
        </w:numPr>
        <w:ind w:left="0" w:right="0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1.1.      Обозначения и сокращения                                                                                                     3</w:t>
      </w:r>
    </w:p>
    <w:p>
      <w:pPr>
        <w:pStyle w:val="Normal"/>
        <w:numPr>
          <w:ilvl w:val="0"/>
          <w:numId w:val="0"/>
        </w:numPr>
        <w:ind w:left="0" w:right="0" w:hanging="0"/>
        <w:rPr>
          <w:b w:val="false"/>
          <w:bCs w:val="false"/>
          <w:sz w:val="24"/>
          <w:szCs w:val="24"/>
        </w:rPr>
      </w:pPr>
      <w:r>
        <w:rPr>
          <w:sz w:val="24"/>
          <w:szCs w:val="24"/>
        </w:rPr>
        <w:t>1.2.      Наименование закупаемой продукции                                                                                   3</w:t>
      </w:r>
    </w:p>
    <w:p>
      <w:pPr>
        <w:pStyle w:val="Normal"/>
        <w:numPr>
          <w:ilvl w:val="0"/>
          <w:numId w:val="0"/>
        </w:numPr>
        <w:ind w:left="0" w:right="0" w:hanging="0"/>
        <w:rPr>
          <w:b w:val="false"/>
          <w:bCs w:val="false"/>
          <w:sz w:val="24"/>
          <w:szCs w:val="24"/>
        </w:rPr>
      </w:pPr>
      <w:r>
        <w:rPr>
          <w:sz w:val="24"/>
          <w:szCs w:val="24"/>
        </w:rPr>
        <w:t xml:space="preserve">1.3.      Цели оказания услуг                                                                                                                 3                                                                                                                      </w:t>
      </w:r>
    </w:p>
    <w:p>
      <w:pPr>
        <w:pStyle w:val="Normal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 ………………………………………………………3</w:t>
      </w:r>
    </w:p>
    <w:p>
      <w:pPr>
        <w:pStyle w:val="Normal"/>
        <w:spacing w:before="0" w:after="0"/>
        <w:contextualSpacing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1.4.     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                                                                                      3</w:t>
      </w:r>
    </w:p>
    <w:p>
      <w:pPr>
        <w:pStyle w:val="Normal"/>
        <w:numPr>
          <w:ilvl w:val="0"/>
          <w:numId w:val="2"/>
        </w:numPr>
        <w:ind w:left="0" w:righ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Требования к продукции …………………………………………………………………. 4</w:t>
      </w:r>
    </w:p>
    <w:p>
      <w:pPr>
        <w:pStyle w:val="Normal"/>
        <w:numPr>
          <w:ilvl w:val="0"/>
        </w:numPr>
        <w:rPr>
          <w:sz w:val="24"/>
          <w:szCs w:val="24"/>
        </w:rPr>
      </w:pPr>
      <w:r>
        <w:rPr>
          <w:sz w:val="24"/>
          <w:szCs w:val="24"/>
        </w:rPr>
        <w:t xml:space="preserve">2.1.      </w:t>
      </w:r>
      <w:r>
        <w:rPr>
          <w:bCs/>
          <w:sz w:val="24"/>
          <w:szCs w:val="24"/>
        </w:rPr>
        <w:t>Требования к объемам и срокам оказания услуг                                                                   4</w:t>
      </w:r>
    </w:p>
    <w:p>
      <w:pPr>
        <w:pStyle w:val="Normal"/>
        <w:rPr>
          <w:sz w:val="24"/>
          <w:szCs w:val="24"/>
        </w:rPr>
      </w:pPr>
      <w:r>
        <w:rPr>
          <w:bCs/>
          <w:sz w:val="24"/>
          <w:szCs w:val="24"/>
        </w:rPr>
        <w:t>2.1.1.   Требования к перечню</w:t>
      </w:r>
      <w:r>
        <w:rPr>
          <w:sz w:val="24"/>
          <w:szCs w:val="24"/>
        </w:rPr>
        <w:t xml:space="preserve"> и объему услуг                                                                                   4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Таблица </w:t>
      </w:r>
      <w:r>
        <w:rPr>
          <w:b/>
          <w:sz w:val="24"/>
          <w:szCs w:val="24"/>
        </w:rPr>
        <w:t>2.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Перечень и объем оказываемых услуг ……………………………………………..4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2.1.2.   Требования к срокам оказания услуг                                                                                      4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Таблица 3. Требования </w:t>
      </w:r>
      <w:r>
        <w:rPr>
          <w:b/>
          <w:sz w:val="24"/>
          <w:szCs w:val="24"/>
        </w:rPr>
        <w:t>к</w:t>
      </w:r>
      <w:r>
        <w:rPr>
          <w:b/>
          <w:sz w:val="24"/>
          <w:szCs w:val="24"/>
          <w:lang w:val="ru-RU"/>
        </w:rPr>
        <w:t xml:space="preserve"> срокам </w:t>
      </w:r>
      <w:r>
        <w:rPr>
          <w:b/>
          <w:sz w:val="24"/>
          <w:szCs w:val="24"/>
        </w:rPr>
        <w:t>оказания услуг……………………………………………….4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2.2       Требование к качеству услуг                                                                                                    4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Таблица 4. Требование к качеству услуг ……………………………………………………….. 4</w:t>
      </w:r>
    </w:p>
    <w:p>
      <w:pPr>
        <w:pStyle w:val="Normal"/>
        <w:numPr>
          <w:ilvl w:val="0"/>
          <w:numId w:val="2"/>
        </w:numPr>
        <w:ind w:left="0" w:right="0" w:hanging="0"/>
        <w:rPr>
          <w:rFonts w:eastAsia="Calibri"/>
          <w:b/>
          <w:bCs/>
          <w:sz w:val="24"/>
          <w:szCs w:val="24"/>
        </w:rPr>
      </w:pPr>
      <w:r>
        <w:rPr>
          <w:b/>
          <w:sz w:val="24"/>
          <w:szCs w:val="24"/>
        </w:rPr>
        <w:t>Требования к документации по ценообразованию на этапе закупки ………………. 6</w:t>
      </w:r>
    </w:p>
    <w:p>
      <w:pPr>
        <w:pStyle w:val="Normal"/>
        <w:numPr>
          <w:ilvl w:val="0"/>
          <w:numId w:val="2"/>
        </w:numPr>
        <w:ind w:left="0" w:right="0" w:hanging="0"/>
        <w:rPr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Требования к документации по ценообразованию на этапе заключения (исполнения) договора…………………………………………………………………………………………….... 6</w:t>
      </w:r>
    </w:p>
    <w:p>
      <w:pPr>
        <w:pStyle w:val="Normal"/>
        <w:numPr>
          <w:ilvl w:val="0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b/>
              <w:sz w:val="24"/>
              <w:szCs w:val="24"/>
            </w:rPr>
          </w:pPr>
          <w:r>
            <w:fldChar w:fldCharType="begin"/>
          </w:r>
          <w:r>
            <w:rPr>
              <w:sz w:val="24"/>
              <w:b/>
              <w:szCs w:val="24"/>
            </w:rPr>
            <w:instrText xml:space="preserve"> TOC \z \o "1-4" \u \h</w:instrText>
          </w:r>
          <w:r>
            <w:rPr>
              <w:sz w:val="24"/>
              <w:b/>
              <w:szCs w:val="24"/>
            </w:rPr>
            <w:fldChar w:fldCharType="separate"/>
          </w:r>
          <w:r>
            <w:rPr>
              <w:b/>
              <w:sz w:val="24"/>
              <w:szCs w:val="24"/>
            </w:rPr>
          </w:r>
        </w:p>
        <w:p>
          <w:pPr>
            <w:pStyle w:val="Normal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</w:r>
        </w:p>
        <w:p>
          <w:pPr>
            <w:pStyle w:val="Normal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</w:r>
        </w:p>
        <w:p>
          <w:pPr>
            <w:pStyle w:val="Normal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</w:r>
        </w:p>
        <w:p>
          <w:pPr>
            <w:pStyle w:val="Normal"/>
            <w:rPr>
              <w:b/>
              <w:sz w:val="24"/>
              <w:szCs w:val="24"/>
            </w:rPr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1. Общие сведения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right="0" w:hanging="0"/>
        <w:outlineLvl w:val="3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1.1  </w:t>
      </w:r>
      <w:r>
        <w:rPr>
          <w:rFonts w:eastAsia="Calibri"/>
          <w:b/>
          <w:bCs/>
          <w:sz w:val="24"/>
          <w:szCs w:val="24"/>
          <w:lang w:val="ru-RU"/>
        </w:rPr>
        <w:t>Обозначения и сокращения</w:t>
      </w:r>
    </w:p>
    <w:p>
      <w:pPr>
        <w:pStyle w:val="Normal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Минздрав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</w:tbl>
    <w:p>
      <w:pPr>
        <w:pStyle w:val="Normal"/>
        <w:ind w:left="0" w:right="0" w:hanging="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left="0" w:right="0" w:hanging="0"/>
        <w:jc w:val="both"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1.2  Наименование закупаемой продукции</w:t>
      </w:r>
    </w:p>
    <w:p>
      <w:pPr>
        <w:pStyle w:val="Normal"/>
        <w:numPr>
          <w:ilvl w:val="0"/>
          <w:numId w:val="0"/>
        </w:numPr>
        <w:ind w:left="0" w:right="0" w:firstLine="578"/>
        <w:jc w:val="both"/>
        <w:outlineLvl w:val="8"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>«ОКПД2: 86.90.19.190 Услуги по проведению предрейсовых и послерейсовых медицинских осмотров для нужд Воткинского транспортного участка Приволжского филиала АО «ТК РусГидро»</w:t>
      </w:r>
    </w:p>
    <w:p>
      <w:pPr>
        <w:pStyle w:val="Normal"/>
        <w:numPr>
          <w:ilvl w:val="0"/>
          <w:numId w:val="0"/>
        </w:numPr>
        <w:ind w:left="0" w:right="0" w:hanging="0"/>
        <w:outlineLvl w:val="8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left="0" w:right="0" w:hanging="0"/>
        <w:jc w:val="both"/>
        <w:outlineLvl w:val="8"/>
        <w:rPr>
          <w:rFonts w:eastAsia="Calibri"/>
          <w:b/>
          <w:bCs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1.3  Цель оказания услуг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rFonts w:eastAsia="Calibri"/>
          <w:b/>
          <w:bCs/>
          <w:sz w:val="24"/>
          <w:szCs w:val="24"/>
        </w:rPr>
      </w:pPr>
      <w:r>
        <w:rPr>
          <w:bCs/>
          <w:sz w:val="24"/>
        </w:rPr>
        <w:t>1.3.1.</w:t>
        <w:tab/>
        <w:t xml:space="preserve">Обеспечение безопасности дорожного движения в части проведения предрейсовых и послерейсовых медицинских осмотров, лицам, допущенным к управлению транспортными средствами в соответствии с пунктом 2 статьи 20 и пунктом 3 статьи 23 Федерального закона от </w:t>
      </w:r>
      <w:r>
        <w:rPr>
          <w:b w:val="false"/>
          <w:bCs w:val="false"/>
          <w:sz w:val="24"/>
        </w:rPr>
        <w:t xml:space="preserve">10.12.1995г. № 196-ФЗ </w:t>
      </w:r>
      <w:r>
        <w:rPr>
          <w:b w:val="false"/>
          <w:bCs w:val="false"/>
          <w:sz w:val="24"/>
          <w:szCs w:val="24"/>
        </w:rPr>
        <w:t>"О безопасности дорожного движения"</w:t>
      </w:r>
      <w:r>
        <w:rPr>
          <w:b w:val="false"/>
          <w:bCs w:val="false"/>
          <w:sz w:val="24"/>
        </w:rPr>
        <w:t>.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Cs/>
        </w:rPr>
      </w:pPr>
      <w:r>
        <w:rPr>
          <w:b/>
          <w:bCs/>
          <w:sz w:val="24"/>
        </w:rPr>
        <w:t xml:space="preserve">1.4 </w:t>
      </w:r>
      <w:bookmarkStart w:id="0" w:name="_Toc54643700"/>
      <w:bookmarkStart w:id="1" w:name="_Hlk49857604"/>
      <w:bookmarkStart w:id="2" w:name="_Toc135150393"/>
      <w:bookmarkStart w:id="3" w:name="_Toc46743509"/>
      <w:r>
        <w:rPr>
          <w:b/>
          <w:bCs/>
          <w:sz w:val="24"/>
        </w:rPr>
        <w:t xml:space="preserve">Информация в отношении исполнения договора, </w:t>
      </w:r>
      <w:bookmarkStart w:id="4" w:name="_Hlk46492347"/>
      <w:r>
        <w:rPr>
          <w:b/>
          <w:bCs/>
          <w:sz w:val="24"/>
        </w:rPr>
        <w:t xml:space="preserve">которая должна быть учтена при подготовке заявки </w:t>
      </w:r>
      <w:bookmarkEnd w:id="4"/>
      <w:r>
        <w:rPr>
          <w:b/>
          <w:bCs/>
          <w:sz w:val="24"/>
        </w:rPr>
        <w:t xml:space="preserve">(в том числе перечень ресурсов, услуг и документов, предоставляемых </w:t>
      </w:r>
      <w:r>
        <w:rPr>
          <w:b/>
          <w:bCs/>
          <w:sz w:val="24"/>
          <w:lang w:val="ru-RU"/>
        </w:rPr>
        <w:t>заказчиком</w:t>
      </w:r>
      <w:r>
        <w:rPr>
          <w:b/>
          <w:bCs/>
          <w:sz w:val="24"/>
        </w:rPr>
        <w:t xml:space="preserve"> на этапе исполнения договора)</w:t>
      </w:r>
      <w:bookmarkEnd w:id="1"/>
      <w:bookmarkEnd w:id="2"/>
      <w:bookmarkEnd w:id="3"/>
      <w:r>
        <w:rPr>
          <w:b/>
          <w:bCs/>
          <w:sz w:val="24"/>
          <w:lang w:val="ru-RU"/>
        </w:rPr>
        <w:t xml:space="preserve"> </w:t>
      </w:r>
      <w:bookmarkEnd w:id="0"/>
    </w:p>
    <w:p>
      <w:pPr>
        <w:pStyle w:val="Normal"/>
        <w:tabs>
          <w:tab w:val="clear" w:pos="720"/>
          <w:tab w:val="left" w:pos="851" w:leader="none"/>
        </w:tabs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1.4.1</w:t>
      </w:r>
      <w:r>
        <w:rPr>
          <w:rFonts w:eastAsia="Calibri"/>
          <w:b/>
          <w:bCs/>
          <w:sz w:val="24"/>
          <w:szCs w:val="24"/>
        </w:rPr>
        <w:t xml:space="preserve">  </w:t>
      </w:r>
      <w:r>
        <w:rPr>
          <w:color w:val="22272F"/>
          <w:sz w:val="24"/>
          <w:szCs w:val="24"/>
          <w:shd w:fill="FFFFFF" w:val="clear"/>
          <w:lang w:val="ru-RU" w:eastAsia="x-none"/>
        </w:rPr>
        <w:t>Медицинские осмотры водителей транспортных средств проводятся в соответствии с пунктом 2 статьи 20 и пунктом 3 статьи 23 Федерального Закона от 10.12.1995 г. № 196-ФЗ «О безопасности дорожного движения», Приказом Минздрава РФ от 30.05.2023 № 266н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</w:t>
      </w:r>
      <w:r>
        <w:rPr>
          <w:sz w:val="24"/>
          <w:szCs w:val="24"/>
          <w:lang w:val="ru-RU" w:eastAsia="x-none"/>
        </w:rPr>
        <w:t>.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jc w:val="both"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</w:t>
      </w:r>
    </w:p>
    <w:p>
      <w:pPr>
        <w:pStyle w:val="Normal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tbl>
      <w:tblPr>
        <w:tblW w:w="102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92"/>
        <w:gridCol w:w="3257"/>
        <w:gridCol w:w="1847"/>
        <w:gridCol w:w="1730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</w:t>
            </w:r>
          </w:p>
        </w:tc>
      </w:tr>
      <w:tr>
        <w:trPr>
          <w:trHeight w:val="1745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«ОКПД2: 86.90.19.190 Услуги по проведению предрейсовых и послерейсовых медицинских осмотров для нужд Воткинского транспортного участка Приволжского филиала АО «ТК РусГидро»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Воткинский Транспортный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Приволжского филиала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АО «ТК РусГидро» </w:t>
            </w:r>
            <w:r>
              <w:rPr>
                <w:rFonts w:eastAsia="Calibri" w:cs="Times New Roman"/>
                <w:bCs/>
                <w:sz w:val="22"/>
                <w:szCs w:val="22"/>
              </w:rPr>
              <w:t>617761, Пермский край, г. Чайковский, территория филиала ПАО «РусГидро» - «Воткинская ГЭС».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Персонал Воткинского транспортного участка Приволжского филиала АО «ТК РусГидро»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Приволжский филиал АО «ТК РусГидро»</w:t>
            </w:r>
          </w:p>
        </w:tc>
      </w:tr>
    </w:tbl>
    <w:p>
      <w:pPr>
        <w:pStyle w:val="Normal"/>
        <w:tabs>
          <w:tab w:val="clear" w:pos="720"/>
          <w:tab w:val="left" w:pos="567" w:leader="none"/>
        </w:tabs>
        <w:spacing w:before="0" w:after="0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hd w:val="clear" w:fill="FFFFFF"/>
        <w:tabs>
          <w:tab w:val="clear" w:pos="720"/>
          <w:tab w:val="left" w:pos="426" w:leader="none"/>
        </w:tabs>
        <w:spacing w:before="0" w:after="0"/>
        <w:ind w:left="20" w:right="0" w:hanging="0"/>
        <w:contextualSpacing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  <w:tab/>
        <w:t>Требования к продукции</w:t>
      </w:r>
      <w:r>
        <w:rPr>
          <w:b/>
          <w:bCs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20"/>
          <w:tab w:val="left" w:pos="567" w:leader="none"/>
        </w:tabs>
        <w:spacing w:before="0" w:after="0"/>
        <w:contextualSpacing/>
        <w:rPr>
          <w:b/>
          <w:bCs/>
        </w:rPr>
      </w:pPr>
      <w:r>
        <w:rPr>
          <w:b/>
          <w:bCs/>
          <w:sz w:val="24"/>
          <w:szCs w:val="24"/>
        </w:rPr>
        <w:t>2.1.</w:t>
        <w:tab/>
        <w:t>Требования к объемам и срокам оказания услуг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rPr>
          <w:b/>
          <w:bCs/>
        </w:rPr>
      </w:pPr>
      <w:r>
        <w:rPr>
          <w:b/>
          <w:bCs/>
          <w:sz w:val="24"/>
          <w:szCs w:val="24"/>
        </w:rPr>
        <w:t>2.1.1.</w:t>
        <w:tab/>
        <w:t>Требования к перечню</w:t>
      </w:r>
      <w:r>
        <w:rPr>
          <w:rFonts w:eastAsia="Calibri"/>
          <w:b/>
          <w:bCs/>
          <w:sz w:val="24"/>
          <w:szCs w:val="24"/>
        </w:rPr>
        <w:t xml:space="preserve"> и объему  услуг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right="0" w:hanging="0"/>
        <w:outlineLvl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sz w:val="24"/>
          <w:szCs w:val="24"/>
          <w:lang w:val="ru-RU"/>
        </w:rPr>
        <w:t xml:space="preserve">Таблица </w:t>
      </w:r>
      <w:r>
        <w:rPr>
          <w:rFonts w:eastAsia="Calibri"/>
          <w:b/>
          <w:sz w:val="24"/>
          <w:szCs w:val="24"/>
        </w:rPr>
        <w:t>2.</w:t>
      </w:r>
      <w:r>
        <w:rPr>
          <w:rFonts w:eastAsia="Calibri"/>
          <w:b/>
          <w:sz w:val="24"/>
          <w:szCs w:val="24"/>
          <w:lang w:val="ru-RU"/>
        </w:rPr>
        <w:t xml:space="preserve"> </w:t>
      </w:r>
      <w:r>
        <w:rPr>
          <w:rFonts w:eastAsia="Calibri"/>
          <w:b/>
          <w:sz w:val="24"/>
          <w:szCs w:val="24"/>
        </w:rPr>
        <w:t>Перечень и объем оказываемых услуг</w:t>
      </w:r>
    </w:p>
    <w:tbl>
      <w:tblPr>
        <w:tblW w:w="102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5709"/>
        <w:gridCol w:w="2129"/>
        <w:gridCol w:w="1731"/>
      </w:tblGrid>
      <w:tr>
        <w:trPr>
          <w:trHeight w:val="423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услуг/этапа услуг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>
              <w:rPr>
                <w:b/>
                <w:sz w:val="24"/>
                <w:szCs w:val="24"/>
                <w:vertAlign w:val="superscript"/>
              </w:rPr>
              <w:t>*</w:t>
            </w:r>
          </w:p>
        </w:tc>
      </w:tr>
      <w:tr>
        <w:trPr>
          <w:trHeight w:val="263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baseline"/>
              <w:rPr>
                <w:i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услуга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baseline"/>
              <w:rPr>
                <w:i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услуга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250</w:t>
            </w:r>
          </w:p>
        </w:tc>
      </w:tr>
    </w:tbl>
    <w:p>
      <w:pPr>
        <w:pStyle w:val="Normal"/>
        <w:spacing w:before="0" w:after="0"/>
        <w:contextualSpacing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>*Объем оказываемых услуг является ориентировочным и Заказчик не несет ответственность за неполную выборку услуг на общую сумму договора.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right="0" w:hanging="0"/>
        <w:outlineLvl w:val="2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2.1.2 Требования к срокам оказания услуг</w:t>
      </w:r>
    </w:p>
    <w:p>
      <w:pPr>
        <w:pStyle w:val="Normal"/>
        <w:numPr>
          <w:ilvl w:val="0"/>
          <w:numId w:val="0"/>
        </w:numPr>
        <w:spacing w:before="120" w:after="60"/>
        <w:ind w:left="0" w:right="0" w:hanging="0"/>
        <w:outlineLvl w:val="2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shd w:fill="FFFFFF" w:val="clear"/>
          <w:lang w:val="ru-RU"/>
        </w:rPr>
        <w:t xml:space="preserve">Таблица </w:t>
      </w:r>
      <w:r>
        <w:rPr>
          <w:rFonts w:eastAsia="Calibri"/>
          <w:b/>
          <w:bCs/>
          <w:sz w:val="24"/>
          <w:szCs w:val="24"/>
          <w:shd w:fill="FFFFFF" w:val="clear"/>
        </w:rPr>
        <w:t>3</w:t>
      </w:r>
      <w:r>
        <w:rPr>
          <w:rFonts w:eastAsia="Calibri"/>
          <w:b/>
          <w:bCs/>
          <w:sz w:val="24"/>
          <w:szCs w:val="24"/>
          <w:shd w:fill="FFFFFF" w:val="clear"/>
          <w:lang w:val="ru-RU"/>
        </w:rPr>
        <w:t xml:space="preserve">. Требования </w:t>
      </w:r>
      <w:r>
        <w:rPr>
          <w:rFonts w:eastAsia="Calibri"/>
          <w:b/>
          <w:bCs/>
          <w:sz w:val="24"/>
          <w:szCs w:val="24"/>
          <w:shd w:fill="FFFFFF" w:val="clear"/>
        </w:rPr>
        <w:t>к</w:t>
      </w:r>
      <w:r>
        <w:rPr>
          <w:rFonts w:eastAsia="Calibri"/>
          <w:b/>
          <w:bCs/>
          <w:sz w:val="24"/>
          <w:szCs w:val="24"/>
          <w:shd w:fill="FFFFFF" w:val="clear"/>
          <w:lang w:val="ru-RU"/>
        </w:rPr>
        <w:t xml:space="preserve"> срокам </w:t>
      </w:r>
      <w:r>
        <w:rPr>
          <w:rFonts w:eastAsia="Calibri"/>
          <w:b/>
          <w:bCs/>
          <w:sz w:val="24"/>
          <w:szCs w:val="24"/>
          <w:shd w:fill="FFFFFF" w:val="clear"/>
        </w:rPr>
        <w:t>оказания услуг</w:t>
      </w:r>
    </w:p>
    <w:tbl>
      <w:tblPr>
        <w:tblW w:w="103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5"/>
        <w:gridCol w:w="2838"/>
        <w:gridCol w:w="2977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5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4</w:t>
            </w:r>
          </w:p>
        </w:tc>
      </w:tr>
      <w:tr>
        <w:trPr>
          <w:trHeight w:val="828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«ОКПД2: 86.90.19.190 Услуги по проведению предрейсовых и послерейсовых медицинских осмотров для нужд Воткинского транспортного участка Приволжского филиала АО «ТК РусГидро»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31.12.2027г.</w:t>
            </w:r>
          </w:p>
        </w:tc>
      </w:tr>
    </w:tbl>
    <w:p>
      <w:pPr>
        <w:pStyle w:val="Normal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709" w:gutter="0" w:header="601" w:top="777" w:footer="427" w:bottom="699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  <w:r>
        <w:br w:type="page"/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2.2. Требования к качеству продукции</w:t>
      </w:r>
    </w:p>
    <w:p>
      <w:pPr>
        <w:pStyle w:val="Heading4"/>
        <w:numPr>
          <w:ilvl w:val="0"/>
          <w:numId w:val="0"/>
        </w:numPr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4"/>
        <w:numPr>
          <w:ilvl w:val="0"/>
          <w:numId w:val="0"/>
        </w:numPr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Таблица 4. Требования к качеству продукции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 xml:space="preserve">Наименование услуг/этапа услуг (позиция № 1,2 Таблицы 2): </w:t>
      </w:r>
      <w:r>
        <w:rPr>
          <w:sz w:val="24"/>
          <w:szCs w:val="24"/>
          <w:shd w:fill="auto" w:val="clear"/>
        </w:rPr>
        <w:t>«ОКПД2: 86.90.19.190 Услуги по проведению предрейсовых и послерейсовых медицинских осмотров для нужд Воткинского транспортного участка Приволжского филиала АО «ТК РусГидро»</w:t>
      </w:r>
    </w:p>
    <w:p>
      <w:pPr>
        <w:pStyle w:val="Style16"/>
        <w:tabs>
          <w:tab w:val="clear" w:pos="720"/>
          <w:tab w:val="left" w:pos="284" w:leader="none"/>
        </w:tabs>
        <w:spacing w:before="0" w:after="0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tbl>
      <w:tblPr>
        <w:tblW w:w="15285" w:type="dxa"/>
        <w:jc w:val="left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4"/>
        <w:gridCol w:w="2670"/>
        <w:gridCol w:w="974"/>
        <w:gridCol w:w="376"/>
        <w:gridCol w:w="4035"/>
        <w:gridCol w:w="3571"/>
        <w:gridCol w:w="2805"/>
      </w:tblGrid>
      <w:tr>
        <w:trPr>
          <w:trHeight w:val="276" w:hRule="atLeast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6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оказанию услуг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  <w:lang w:val="ru-RU" w:eastAsia="x-none"/>
              </w:rPr>
              <w:t>Медицинские осмотры водителей транспортных средств проводятся в соответствии с пунктом 2 статьи 20 и пунктом 3 статьи 23 Федерального Закона от 10.12.1995 г. № 196-ФЗ «О безопасности дорожного движения», Приказом Минздрава РФ от 30.05.2023 № 266н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  <w:bookmarkStart w:id="5" w:name="_GoBack"/>
            <w:bookmarkEnd w:id="5"/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Участник должен обладать действующей лицензией на осуществление медицинской деятельности в соответствии с Федеральным законом от 04.05.2011 N 99-ФЗ "О лицензировании отдельных видов деятельности", в которую вписан адрес места нахождения и места осуществления лицензируемого вида деятельности..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  <w:bookmarkStart w:id="6" w:name="_GoBack_Копия_1"/>
            <w:bookmarkEnd w:id="6"/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должен предоставить лицензию на осуществление медицинской деятельности</w:t>
            </w:r>
          </w:p>
        </w:tc>
      </w:tr>
      <w:tr>
        <w:trPr>
          <w:trHeight w:val="42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Место оказания услуг</w:t>
            </w:r>
          </w:p>
        </w:tc>
        <w:tc>
          <w:tcPr>
            <w:tcW w:w="5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Исполнитель должен предоставлять услуги по проведению предрейсовых и послерейсовых медицинских осмотров персонала Камского транспортного участка и иметь оборудованный медицинский кабинет не далее 5 (пяти) километров от местонахождения Воткинского  транспортного участка Приволжского филиала АО «ТК РусГидро»:  </w:t>
            </w:r>
            <w:r>
              <w:rPr>
                <w:rFonts w:eastAsia="Calibri" w:cs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Пермский край, г. Чайковский, территория филиала ПАО «РусГидро» - «Воткинская ГЭС».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предрейсовому и послерейсовому медицинскому осмотру персонала Камского транспортного участка, допущенным к управлению транспортными средствами, проводится Исполнителем в круглосуточном режиме, в рабочие и выходные дни.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2"/>
                <w:szCs w:val="22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поддержании стабильных внешних условий).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bCs/>
                <w:color w:val="202124"/>
                <w:sz w:val="22"/>
                <w:szCs w:val="22"/>
                <w:shd w:fill="FFFFFF" w:val="clear"/>
              </w:rPr>
              <w:t>Исполнитель в обязательном порядке должен обеспечивать полную укомплектованность медицинскими работниками, прошедшими в установленном порядке обучение и имеющих действующее свидетельство (сертификат) на право проведения предрейсовых и послерейсовых медицинских осмотров.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скана (копии) действующего свидетельства (сертификат)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результатам у</w:t>
            </w:r>
            <w:r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Общие требования к результатам услуг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методических рекомендациях «Медицинское обеспечение безопасности дорожного движения. Организация и порядок проведения предрейсовых медицинских осмотров водителей транспортных средств», утвержденных Минздравом РФ и Минтрансом РФ 29.01.2002 г.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допуске водителя к управлению автомобилем на путевых листах ставится штамп «прошел предрейсовый медицинский осмотр, к исполнению трудовых обязанностей допущен», а также подпись и ФИО медицинского работника, проводившего осмотр, дата и время проведения медицинского осмотра.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обязуется обеспечивать соблюдение режима врачебной тайны, конфиденциальность и безопасность персональных данных лиц, проходивших медицинские осмотры при их обработке, в соответствии с требованиями Федерального закона от 27.07.2006г. №152-ФЗ «О персональных данных».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приемке результата оказания у</w:t>
            </w:r>
            <w:r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2.3.2.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2"/>
                <w:szCs w:val="22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2.3.3.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проведению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допуске водителя к управлению автомобилем на путевых листах ставится штамп «прошел предрейсовый медицинский осмотр, к исполнению трудовых обязанностей допущен», а также подпись и ФИО медицинского работника, проводившего осмотр, дата и время проведения медицинского осмотра.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обязан проводить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требования к оказанию услуг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сдачи-приемки Услуг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1"/>
              </w:numPr>
              <w:shd w:val="clear" w:color="auto" w:fill="FFFFFF"/>
              <w:tabs>
                <w:tab w:val="clear" w:pos="720"/>
                <w:tab w:val="left" w:pos="284" w:leader="none"/>
                <w:tab w:val="left" w:pos="1134" w:leader="none"/>
              </w:tabs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окончании оказания Услуг Ис</w:t>
            </w:r>
            <w:r>
              <w:rPr>
                <w:sz w:val="22"/>
                <w:szCs w:val="22"/>
                <w:shd w:fill="auto" w:val="clear"/>
              </w:rPr>
              <w:t>полнитель в течение 3 (трех) рабочих дней предоставляет Заказчику подписанные со своей стороны в 2 (двух) экземплярах Акты об оказании Услуг, Счет на оплату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Style16"/>
        <w:tabs>
          <w:tab w:val="clear" w:pos="720"/>
          <w:tab w:val="left" w:pos="284" w:leader="none"/>
        </w:tabs>
        <w:spacing w:before="0" w:after="0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Style16"/>
        <w:tabs>
          <w:tab w:val="clear" w:pos="720"/>
          <w:tab w:val="left" w:pos="284" w:leader="none"/>
        </w:tabs>
        <w:spacing w:before="0" w:after="0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Style16"/>
        <w:tabs>
          <w:tab w:val="clear" w:pos="720"/>
          <w:tab w:val="left" w:pos="284" w:leader="none"/>
        </w:tabs>
        <w:spacing w:before="0" w:after="0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Style16"/>
        <w:tabs>
          <w:tab w:val="clear" w:pos="720"/>
          <w:tab w:val="left" w:pos="284" w:leader="none"/>
        </w:tabs>
        <w:spacing w:before="0" w:after="0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  <w:r>
        <w:br w:type="page"/>
      </w:r>
    </w:p>
    <w:p>
      <w:pPr>
        <w:pStyle w:val="Normal"/>
        <w:spacing w:lineRule="auto" w:line="276"/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3.Требования к документации по ценообразованию на этапе закупки</w:t>
      </w:r>
    </w:p>
    <w:p>
      <w:pPr>
        <w:pStyle w:val="Normal"/>
        <w:spacing w:lineRule="auto" w:line="276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3.1 В обоснование стоимости своей заявки Участник предоставляет Коммерческое предложение.</w:t>
      </w:r>
    </w:p>
    <w:p>
      <w:pPr>
        <w:pStyle w:val="Normal"/>
        <w:spacing w:lineRule="auto" w:line="276"/>
        <w:ind w:left="426" w:hanging="426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3.2 </w:t>
        <w:tab/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запросу ТКП).</w:t>
      </w:r>
    </w:p>
    <w:p>
      <w:pPr>
        <w:pStyle w:val="Normal"/>
        <w:ind w:left="0" w:right="-2" w:hanging="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ind w:left="0" w:right="-2" w:hanging="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ind w:left="0" w:right="-2" w:hanging="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eastAsia="Calibri"/>
          <w:b/>
          <w:bCs/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992" w:right="709" w:gutter="0" w:header="601" w:top="777" w:footer="427" w:bottom="6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6521" w:leader="none"/>
        <w:tab w:val="left" w:pos="6946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6521" w:leader="none"/>
        <w:tab w:val="left" w:pos="6946" w:leader="none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WW8Num3z0">
    <w:name w:val="WW8Num3z0"/>
    <w:qFormat/>
    <w:rPr>
      <w:b/>
    </w:rPr>
  </w:style>
  <w:style w:type="character" w:styleId="WW8Num3z2">
    <w:name w:val="WW8Num3z2"/>
    <w:qFormat/>
    <w:rPr>
      <w:b w:val="false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b/>
      <w:bCs/>
    </w:rPr>
  </w:style>
  <w:style w:type="character" w:styleId="WW8Num5z0">
    <w:name w:val="WW8Num5z0"/>
    <w:qFormat/>
    <w:rPr>
      <w:b/>
    </w:rPr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>
      <w:sz w:val="20"/>
      <w:szCs w:val="20"/>
    </w:rPr>
  </w:style>
  <w:style w:type="character" w:styleId="WW8Num2z2">
    <w:name w:val="WW8Num2z2"/>
    <w:qFormat/>
    <w:rPr/>
  </w:style>
  <w:style w:type="character" w:styleId="WW8Num4z2">
    <w:name w:val="WW8Num4z2"/>
    <w:qFormat/>
    <w:rPr>
      <w:b w:val="false"/>
    </w:rPr>
  </w:style>
  <w:style w:type="character" w:styleId="WW8Num1z0">
    <w:name w:val="WW8Num1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8z2">
    <w:name w:val="WW8Num8z2"/>
    <w:qFormat/>
    <w:rPr>
      <w:rFonts w:ascii="Times New Roman" w:hAnsi="Times New Roman" w:cs="Times New Roman"/>
      <w:b w:val="false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1z2">
    <w:name w:val="WW8Num11z2"/>
    <w:qFormat/>
    <w:rPr>
      <w:b w:val="false"/>
    </w:rPr>
  </w:style>
  <w:style w:type="character" w:styleId="1">
    <w:name w:val="Основной шрифт абзаца1"/>
    <w:qFormat/>
    <w:rPr/>
  </w:style>
  <w:style w:type="character" w:styleId="Normal1">
    <w:name w:val="Normal1 Знак"/>
    <w:qFormat/>
    <w:rPr>
      <w:rFonts w:eastAsia="Calibri"/>
      <w:lang w:val="ru-RU" w:bidi="ar-SA"/>
    </w:rPr>
  </w:style>
  <w:style w:type="character" w:styleId="Style5">
    <w:name w:val="Текст сноски Знак"/>
    <w:basedOn w:val="1"/>
    <w:qFormat/>
    <w:rPr/>
  </w:style>
  <w:style w:type="character" w:styleId="Style6">
    <w:name w:val="Символ сноски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yle7">
    <w:name w:val="Абзац списка Знак"/>
    <w:qFormat/>
    <w:rPr/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Верхний колонтитул Знак"/>
    <w:basedOn w:val="1"/>
    <w:qFormat/>
    <w:rPr/>
  </w:style>
  <w:style w:type="character" w:styleId="Style10">
    <w:name w:val="Нижний колонтитул Знак"/>
    <w:basedOn w:val="1"/>
    <w:qFormat/>
    <w:rPr/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2">
    <w:name w:val="Основной текст 2 Знак"/>
    <w:basedOn w:val="1"/>
    <w:qFormat/>
    <w:rPr/>
  </w:style>
  <w:style w:type="character" w:styleId="Strong">
    <w:name w:val="Strong"/>
    <w:qFormat/>
    <w:rPr>
      <w:b/>
      <w:bCs/>
    </w:rPr>
  </w:style>
  <w:style w:type="character" w:styleId="WW8Num7z0">
    <w:name w:val="WW8Num7z0"/>
    <w:qFormat/>
    <w:rPr/>
  </w:style>
  <w:style w:type="character" w:styleId="Emphasis">
    <w:name w:val="Emphasis"/>
    <w:qFormat/>
    <w:rPr>
      <w:i/>
      <w:iCs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Arial Unicode MS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6521" w:leader="none"/>
        <w:tab w:val="left" w:pos="6946" w:leader="none"/>
      </w:tabs>
      <w:jc w:val="center"/>
    </w:pPr>
    <w:rPr>
      <w:sz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2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Arial Unicode MS;Arial"/>
      <w:sz w:val="28"/>
      <w:szCs w:val="28"/>
    </w:rPr>
  </w:style>
  <w:style w:type="paragraph" w:styleId="Style13">
    <w:name w:val="Название объекта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;Arial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11">
    <w:name w:val="Заголовок1"/>
    <w:basedOn w:val="Normal"/>
    <w:next w:val="BodyText"/>
    <w:qFormat/>
    <w:pPr>
      <w:jc w:val="center"/>
    </w:pPr>
    <w:rPr>
      <w:b/>
      <w:sz w:val="24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lang w:val="zxx" w:bidi="zxx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1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1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1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Style15">
    <w:name w:val="Абзац списка"/>
    <w:basedOn w:val="Normal"/>
    <w:qFormat/>
    <w:pPr>
      <w:ind w:left="708" w:right="0" w:hanging="0"/>
    </w:pPr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496" w:leader="dot"/>
      </w:tabs>
      <w:spacing w:before="120" w:after="0"/>
    </w:pPr>
    <w:rPr>
      <w:rFonts w:cs="Calibri Light (Заголовки);Calibri Light"/>
      <w:b/>
      <w:bCs/>
      <w:sz w:val="24"/>
      <w:szCs w:val="24"/>
    </w:rPr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</w:rPr>
  </w:style>
  <w:style w:type="paragraph" w:styleId="Style1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17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lang w:val="en-US"/>
    </w:rPr>
  </w:style>
  <w:style w:type="paragraph" w:styleId="Style1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ru-RU"/>
    </w:rPr>
  </w:style>
  <w:style w:type="paragraph" w:styleId="Style19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11">
    <w:name w:val="Основной текст 21"/>
    <w:basedOn w:val="Normal"/>
    <w:qFormat/>
    <w:pPr>
      <w:spacing w:lineRule="auto" w:line="480" w:before="0" w:after="120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odytext2">
    <w:name w:val="Body text (2)"/>
    <w:basedOn w:val="Normal"/>
    <w:qFormat/>
    <w:pPr>
      <w:widowControl w:val="false"/>
      <w:shd w:val="clear" w:fill="FFFFFF"/>
      <w:spacing w:lineRule="exact" w:line="277" w:before="0" w:after="60"/>
      <w:ind w:left="0" w:right="0" w:hanging="380"/>
      <w:jc w:val="right"/>
    </w:pPr>
    <w:rPr>
      <w:rFonts w:ascii="Arial" w:hAnsi="Arial" w:eastAsia="Arial" w:cs="Arial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91</TotalTime>
  <Application>AlterOffice/2025.3.1.0$Linux_X86_64 LibreOffice_project/6648c49ab2ca125dff246c75ec00a85a64baa8dd</Application>
  <AppVersion>15.0000</AppVersion>
  <Pages>9</Pages>
  <Words>1670</Words>
  <Characters>11688</Characters>
  <CharactersWithSpaces>13972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2026-05-14T14:08:00Z</dcterms:created>
  <dc:creator>Архив</dc:creator>
  <dc:description/>
  <dc:language>ru-RU</dc:language>
  <cp:lastModifiedBy>muzurovaea@corp.gidroogk.com</cp:lastModifiedBy>
  <cp:lastPrinted>2026-05-21T16:05:27Z</cp:lastPrinted>
  <dcterms:modified xsi:type="dcterms:W3CDTF">2026-05-22T09:42:58Z</dcterms:modified>
  <cp:revision>14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