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4147B3" w:rsidRPr="00AE4BBF" w:rsidRDefault="00695FFF" w:rsidP="00D01C32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по лоту </w:t>
      </w:r>
      <w:r w:rsidR="007D244C" w:rsidRPr="007D244C">
        <w:rPr>
          <w:b/>
          <w:szCs w:val="28"/>
        </w:rPr>
        <w:t>ОКПД2 13.92.21 Поставка материалов, необходимых для поддержания работоспособного состояния ранее смонтированных средств пассивной защиты ДГУ Филиала ПАО «</w:t>
      </w:r>
      <w:proofErr w:type="spellStart"/>
      <w:r w:rsidR="007D244C" w:rsidRPr="007D244C">
        <w:rPr>
          <w:b/>
          <w:szCs w:val="28"/>
        </w:rPr>
        <w:t>РусГидро</w:t>
      </w:r>
      <w:proofErr w:type="spellEnd"/>
      <w:r w:rsidR="007D244C" w:rsidRPr="007D244C">
        <w:rPr>
          <w:b/>
          <w:szCs w:val="28"/>
        </w:rPr>
        <w:t>» – «Жигулевская ГЭС»</w:t>
      </w:r>
    </w:p>
    <w:p w:rsidR="00A065B7" w:rsidRPr="00056B44" w:rsidRDefault="00A42E70" w:rsidP="007D244C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>«Жигулевская ГЭС» (далее – Заказчик) сообщает о проведении</w:t>
      </w:r>
      <w:r w:rsidR="00722C0A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технико-коммерческих предложений потенциальных постав</w:t>
      </w:r>
      <w:bookmarkStart w:id="0" w:name="_GoBack"/>
      <w:bookmarkEnd w:id="0"/>
      <w:r>
        <w:rPr>
          <w:sz w:val="24"/>
          <w:szCs w:val="24"/>
        </w:rPr>
        <w:t xml:space="preserve">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вора по лоту</w:t>
      </w:r>
      <w:r w:rsidR="00EE4DB1" w:rsidRPr="00EE4DB1">
        <w:rPr>
          <w:sz w:val="24"/>
          <w:szCs w:val="24"/>
        </w:rPr>
        <w:t xml:space="preserve"> </w:t>
      </w:r>
      <w:r w:rsidR="007D244C" w:rsidRPr="007D244C">
        <w:rPr>
          <w:sz w:val="24"/>
          <w:szCs w:val="24"/>
        </w:rPr>
        <w:t>ОКПД2 13.92.21 Поставка материалов, необходимых для поддержания работоспособного состояния ранее смонтированных средств пассивной защиты ДГУ Филиала ПАО «</w:t>
      </w:r>
      <w:proofErr w:type="spellStart"/>
      <w:r w:rsidR="007D244C" w:rsidRPr="007D244C">
        <w:rPr>
          <w:sz w:val="24"/>
          <w:szCs w:val="24"/>
        </w:rPr>
        <w:t>РусГидро</w:t>
      </w:r>
      <w:proofErr w:type="spellEnd"/>
      <w:r w:rsidR="007D244C" w:rsidRPr="007D244C">
        <w:rPr>
          <w:sz w:val="24"/>
          <w:szCs w:val="24"/>
        </w:rPr>
        <w:t>» – «Жигулевская ГЭС»</w:t>
      </w:r>
      <w:r w:rsidR="001F4595" w:rsidRPr="00056B44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F676E"/>
    <w:rsid w:val="001E78FB"/>
    <w:rsid w:val="001F4595"/>
    <w:rsid w:val="00202ABF"/>
    <w:rsid w:val="00217601"/>
    <w:rsid w:val="003219EE"/>
    <w:rsid w:val="004147B3"/>
    <w:rsid w:val="00423DD0"/>
    <w:rsid w:val="004E40C6"/>
    <w:rsid w:val="00537AFD"/>
    <w:rsid w:val="0055127B"/>
    <w:rsid w:val="006503FA"/>
    <w:rsid w:val="00695FFF"/>
    <w:rsid w:val="00722C0A"/>
    <w:rsid w:val="007D244C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A4DFD"/>
    <w:rsid w:val="00C37192"/>
    <w:rsid w:val="00D01C32"/>
    <w:rsid w:val="00DD1A14"/>
    <w:rsid w:val="00E20D35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52</cp:revision>
  <cp:lastPrinted>2023-11-13T11:41:00Z</cp:lastPrinted>
  <dcterms:created xsi:type="dcterms:W3CDTF">2023-11-13T10:36:00Z</dcterms:created>
  <dcterms:modified xsi:type="dcterms:W3CDTF">2026-05-22T06:56:00Z</dcterms:modified>
  <dc:language>ru-RU</dc:language>
</cp:coreProperties>
</file>