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621B9A" w:rsidP="00BA5BA4">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sz w:val="24"/>
                <w:szCs w:val="24"/>
                <w:lang w:eastAsia="ru-RU"/>
              </w:rPr>
              <w:t>УФПС Томской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924D42"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924D42"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924D4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924D42">
              <w:rPr>
                <w:rFonts w:ascii="Times New Roman" w:eastAsia="Times New Roman" w:hAnsi="Times New Roman" w:cs="Times New Roman"/>
                <w:i/>
                <w:sz w:val="24"/>
                <w:szCs w:val="24"/>
                <w:lang w:eastAsia="ru-RU"/>
              </w:rPr>
              <w:t>3</w:t>
            </w:r>
            <w:r w:rsidR="007C5DF7" w:rsidRPr="001C18CA">
              <w:rPr>
                <w:rFonts w:ascii="Times New Roman" w:eastAsia="Times New Roman" w:hAnsi="Times New Roman" w:cs="Times New Roman"/>
                <w:i/>
                <w:sz w:val="24"/>
                <w:szCs w:val="24"/>
                <w:lang w:eastAsia="ru-RU"/>
              </w:rPr>
              <w:t xml:space="preserve"> (</w:t>
            </w:r>
            <w:r w:rsidR="00924D42">
              <w:rPr>
                <w:rFonts w:ascii="Times New Roman" w:eastAsia="Times New Roman" w:hAnsi="Times New Roman" w:cs="Times New Roman"/>
                <w:i/>
                <w:sz w:val="24"/>
                <w:szCs w:val="24"/>
                <w:lang w:eastAsia="ru-RU"/>
              </w:rPr>
              <w:t>т</w:t>
            </w:r>
            <w:bookmarkStart w:id="2" w:name="_GoBack"/>
            <w:bookmarkEnd w:id="2"/>
            <w:r w:rsidR="0064069E" w:rsidRPr="001C18CA">
              <w:rPr>
                <w:rFonts w:ascii="Times New Roman" w:eastAsia="Times New Roman" w:hAnsi="Times New Roman" w:cs="Times New Roman"/>
                <w:i/>
                <w:sz w:val="24"/>
                <w:szCs w:val="24"/>
                <w:lang w:eastAsia="ru-RU"/>
              </w:rPr>
              <w:t>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621B9A" w:rsidP="00BA5BA4">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lang w:eastAsia="ru-RU"/>
              </w:rPr>
              <w:t>Поставка автомобильных шин для нужд УФПС Томской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621B9A" w:rsidP="007A75A2">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sz w:val="24"/>
                <w:szCs w:val="24"/>
                <w:lang w:eastAsia="ru-RU"/>
              </w:rPr>
              <w:t xml:space="preserve">2752246  (два миллиона семьсот пятьдесят две тысячи двести сорок шесть) рублей, 94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621B9A" w:rsidRPr="00621B9A" w:rsidRDefault="00621B9A" w:rsidP="00621B9A">
            <w:pPr>
              <w:tabs>
                <w:tab w:val="right" w:pos="9354"/>
              </w:tabs>
              <w:spacing w:after="0" w:line="240" w:lineRule="auto"/>
              <w:rPr>
                <w:rFonts w:ascii="Times New Roman" w:eastAsia="Times New Roman" w:hAnsi="Times New Roman" w:cs="Times New Roman"/>
                <w:i/>
                <w:iCs/>
                <w:sz w:val="24"/>
                <w:szCs w:val="24"/>
                <w:lang w:eastAsia="ru-RU"/>
              </w:rPr>
            </w:pPr>
            <w:r w:rsidRPr="00621B9A">
              <w:rPr>
                <w:rFonts w:ascii="Times New Roman" w:eastAsia="Times New Roman" w:hAnsi="Times New Roman" w:cs="Times New Roman"/>
                <w:i/>
                <w:iCs/>
                <w:sz w:val="24"/>
                <w:szCs w:val="24"/>
                <w:lang w:eastAsia="ru-RU"/>
              </w:rPr>
              <w:t xml:space="preserve">Томская область, г. Томск, ул. Источная, д. 36. </w:t>
            </w:r>
          </w:p>
          <w:p w:rsidR="00B66E1D" w:rsidRPr="001C18CA" w:rsidRDefault="00621B9A" w:rsidP="00621B9A">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621B9A"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256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53" w:rsidRDefault="00101053" w:rsidP="003E5A0C">
      <w:pPr>
        <w:spacing w:after="0" w:line="240" w:lineRule="auto"/>
      </w:pPr>
      <w:r>
        <w:separator/>
      </w:r>
    </w:p>
  </w:endnote>
  <w:endnote w:type="continuationSeparator" w:id="0">
    <w:p w:rsidR="00101053" w:rsidRDefault="00101053"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53" w:rsidRDefault="00101053" w:rsidP="003E5A0C">
      <w:pPr>
        <w:spacing w:after="0" w:line="240" w:lineRule="auto"/>
      </w:pPr>
      <w:r>
        <w:separator/>
      </w:r>
    </w:p>
  </w:footnote>
  <w:footnote w:type="continuationSeparator" w:id="0">
    <w:p w:rsidR="00101053" w:rsidRDefault="00101053"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01053"/>
    <w:rsid w:val="001B2A1E"/>
    <w:rsid w:val="001C18CA"/>
    <w:rsid w:val="001E58C8"/>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21B9A"/>
    <w:rsid w:val="0064069E"/>
    <w:rsid w:val="0066688C"/>
    <w:rsid w:val="00694A87"/>
    <w:rsid w:val="0069567F"/>
    <w:rsid w:val="006A60A1"/>
    <w:rsid w:val="00772020"/>
    <w:rsid w:val="007853D0"/>
    <w:rsid w:val="007A1CCB"/>
    <w:rsid w:val="007A75A2"/>
    <w:rsid w:val="007C5DF7"/>
    <w:rsid w:val="007D6C4C"/>
    <w:rsid w:val="00823D7C"/>
    <w:rsid w:val="00827C06"/>
    <w:rsid w:val="00853434"/>
    <w:rsid w:val="008E1DAD"/>
    <w:rsid w:val="00903DE7"/>
    <w:rsid w:val="00903EF2"/>
    <w:rsid w:val="00906403"/>
    <w:rsid w:val="009217CC"/>
    <w:rsid w:val="00924D42"/>
    <w:rsid w:val="00942A3D"/>
    <w:rsid w:val="009550C5"/>
    <w:rsid w:val="00982FBE"/>
    <w:rsid w:val="00987FC9"/>
    <w:rsid w:val="00995DBC"/>
    <w:rsid w:val="009A2BC1"/>
    <w:rsid w:val="009B39C7"/>
    <w:rsid w:val="009C100C"/>
    <w:rsid w:val="00A06713"/>
    <w:rsid w:val="00A111FB"/>
    <w:rsid w:val="00A200AE"/>
    <w:rsid w:val="00AA1D16"/>
    <w:rsid w:val="00AB164E"/>
    <w:rsid w:val="00AD7A90"/>
    <w:rsid w:val="00AE043E"/>
    <w:rsid w:val="00B66E1D"/>
    <w:rsid w:val="00B754D6"/>
    <w:rsid w:val="00BA5BA4"/>
    <w:rsid w:val="00C460A2"/>
    <w:rsid w:val="00C542FC"/>
    <w:rsid w:val="00C94BBA"/>
    <w:rsid w:val="00D20EA4"/>
    <w:rsid w:val="00DC7DB5"/>
    <w:rsid w:val="00DD295C"/>
    <w:rsid w:val="00DF2508"/>
    <w:rsid w:val="00E53199"/>
    <w:rsid w:val="00E94A33"/>
    <w:rsid w:val="00EA4FE5"/>
    <w:rsid w:val="00EB4B18"/>
    <w:rsid w:val="00EC2FCE"/>
    <w:rsid w:val="00F143EE"/>
    <w:rsid w:val="00F26981"/>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1783"/>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2259-A203-4F16-B15F-17EF3344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2026-05-22T07:49:00Z</dcterms:created>
  <dcterms:modified xsi:type="dcterms:W3CDTF">2026-05-22T07:49:00Z</dcterms:modified>
</cp:coreProperties>
</file>