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F0" w:rsidRDefault="003175F0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824817" w:rsidRDefault="00824817">
      <w:pPr>
        <w:keepNext/>
        <w:keepLines/>
        <w:rPr>
          <w:sz w:val="26"/>
          <w:szCs w:val="26"/>
        </w:rPr>
      </w:pPr>
    </w:p>
    <w:p w:rsidR="003175F0" w:rsidRDefault="003175F0">
      <w:pPr>
        <w:keepNext/>
        <w:keepLines/>
        <w:rPr>
          <w:sz w:val="26"/>
          <w:szCs w:val="26"/>
        </w:rPr>
      </w:pPr>
    </w:p>
    <w:p w:rsidR="003175F0" w:rsidRDefault="003175F0">
      <w:pPr>
        <w:keepNext/>
        <w:keepLines/>
        <w:rPr>
          <w:sz w:val="26"/>
          <w:szCs w:val="26"/>
        </w:rPr>
      </w:pPr>
    </w:p>
    <w:p w:rsidR="003175F0" w:rsidRDefault="003175F0">
      <w:pPr>
        <w:keepNext/>
        <w:keepLines/>
        <w:rPr>
          <w:sz w:val="26"/>
          <w:szCs w:val="26"/>
        </w:rPr>
      </w:pPr>
    </w:p>
    <w:p w:rsidR="003175F0" w:rsidRDefault="003175F0">
      <w:pPr>
        <w:keepNext/>
        <w:keepLines/>
        <w:rPr>
          <w:sz w:val="26"/>
          <w:szCs w:val="26"/>
        </w:rPr>
      </w:pPr>
    </w:p>
    <w:p w:rsidR="003175F0" w:rsidRDefault="0082481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3175F0" w:rsidRDefault="003175F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175F0" w:rsidRDefault="003175F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175F0" w:rsidRDefault="00824817">
      <w:pPr>
        <w:widowControl w:val="0"/>
        <w:tabs>
          <w:tab w:val="left" w:pos="426"/>
        </w:tabs>
        <w:jc w:val="center"/>
      </w:pPr>
      <w:r>
        <w:rPr>
          <w:rFonts w:eastAsia="Calibri"/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КПД2 </w:t>
      </w:r>
      <w:r>
        <w:rPr>
          <w:sz w:val="24"/>
        </w:rPr>
        <w:t xml:space="preserve">26.40.33 </w:t>
      </w:r>
      <w:r>
        <w:rPr>
          <w:color w:val="auto"/>
          <w:sz w:val="24"/>
          <w:szCs w:val="24"/>
        </w:rPr>
        <w:t>«</w:t>
      </w:r>
      <w:r>
        <w:rPr>
          <w:sz w:val="24"/>
          <w:szCs w:val="24"/>
        </w:rPr>
        <w:t xml:space="preserve">Поставка МТР для </w:t>
      </w:r>
      <w:r>
        <w:rPr>
          <w:color w:val="auto"/>
          <w:sz w:val="24"/>
          <w:szCs w:val="24"/>
        </w:rPr>
        <w:t>Филиала ПАО «РусГидро»</w:t>
      </w:r>
      <w:r w:rsidR="00362029" w:rsidRPr="0036202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-</w:t>
      </w:r>
      <w:r w:rsidR="00362029" w:rsidRPr="00362029">
        <w:rPr>
          <w:color w:val="auto"/>
          <w:sz w:val="24"/>
          <w:szCs w:val="24"/>
        </w:rPr>
        <w:t xml:space="preserve"> </w:t>
      </w:r>
      <w:bookmarkStart w:id="0" w:name="_GoBack"/>
      <w:bookmarkEnd w:id="0"/>
      <w:r>
        <w:rPr>
          <w:color w:val="auto"/>
          <w:sz w:val="24"/>
          <w:szCs w:val="24"/>
        </w:rPr>
        <w:t>«Жигулевская ГЭС»</w:t>
      </w:r>
    </w:p>
    <w:p w:rsidR="003175F0" w:rsidRDefault="003175F0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3175F0" w:rsidRDefault="003175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</w:p>
    <w:p w:rsidR="003175F0" w:rsidRDefault="003175F0">
      <w:pPr>
        <w:keepNext/>
        <w:keepLines/>
        <w:jc w:val="center"/>
        <w:rPr>
          <w:sz w:val="26"/>
          <w:szCs w:val="26"/>
        </w:rPr>
      </w:pPr>
    </w:p>
    <w:p w:rsidR="003175F0" w:rsidRDefault="00824817">
      <w:pPr>
        <w:rPr>
          <w:sz w:val="26"/>
          <w:szCs w:val="26"/>
        </w:rPr>
      </w:pPr>
      <w:r>
        <w:br w:type="page"/>
      </w:r>
    </w:p>
    <w:p w:rsidR="003175F0" w:rsidRDefault="00824817">
      <w:pPr>
        <w:jc w:val="center"/>
      </w:pPr>
      <w:r>
        <w:rPr>
          <w:b/>
        </w:rPr>
        <w:lastRenderedPageBreak/>
        <w:t>СОДЕРЖАНИЕ</w:t>
      </w:r>
    </w:p>
    <w:sdt>
      <w:sdtPr>
        <w:id w:val="-1648044047"/>
        <w:docPartObj>
          <w:docPartGallery w:val="Table of Contents"/>
          <w:docPartUnique/>
        </w:docPartObj>
      </w:sdtPr>
      <w:sdtEndPr/>
      <w:sdtContent>
        <w:p w:rsidR="003175F0" w:rsidRDefault="00824817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c"/>
            </w:rPr>
            <w:instrText xml:space="preserve"> TOC \o "1-4" \h</w:instrText>
          </w:r>
          <w:r>
            <w:rPr>
              <w:rStyle w:val="afc"/>
            </w:rPr>
            <w:fldChar w:fldCharType="separate"/>
          </w:r>
          <w:hyperlink w:anchor="__RefHeading___Toc903_40715321">
            <w:r>
              <w:rPr>
                <w:rStyle w:val="afc"/>
              </w:rPr>
              <w:t>1. Общие сведения</w:t>
            </w:r>
            <w:r>
              <w:rPr>
                <w:rStyle w:val="afc"/>
              </w:rPr>
              <w:tab/>
              <w:t>3</w:t>
            </w:r>
          </w:hyperlink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05_40715321">
            <w:r w:rsidR="00824817">
              <w:rPr>
                <w:rStyle w:val="afc"/>
                <w:sz w:val="24"/>
                <w:szCs w:val="24"/>
              </w:rPr>
              <w:t>1.1. Обозначения и сокращения</w:t>
            </w:r>
            <w:r w:rsidR="00824817">
              <w:rPr>
                <w:rStyle w:val="afc"/>
                <w:sz w:val="24"/>
                <w:szCs w:val="24"/>
              </w:rPr>
              <w:tab/>
              <w:t>3</w:t>
            </w:r>
          </w:hyperlink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07_40715321">
            <w:r w:rsidR="00824817">
              <w:rPr>
                <w:rStyle w:val="afc"/>
                <w:sz w:val="24"/>
                <w:szCs w:val="24"/>
              </w:rPr>
              <w:t>1.2. Наименование закупаемой продукции</w:t>
            </w:r>
            <w:r w:rsidR="00824817">
              <w:rPr>
                <w:rStyle w:val="afc"/>
                <w:sz w:val="24"/>
                <w:szCs w:val="24"/>
              </w:rPr>
              <w:tab/>
              <w:t>4</w:t>
            </w:r>
          </w:hyperlink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09_40715321">
            <w:r w:rsidR="00824817">
              <w:rPr>
                <w:rStyle w:val="afc"/>
                <w:sz w:val="24"/>
                <w:szCs w:val="24"/>
              </w:rPr>
              <w:t>1.3. Цель использования закупаемой продукции</w:t>
            </w:r>
            <w:r w:rsidR="00824817">
              <w:rPr>
                <w:rStyle w:val="afc"/>
                <w:sz w:val="24"/>
                <w:szCs w:val="24"/>
              </w:rPr>
              <w:tab/>
              <w:t>4</w:t>
            </w:r>
          </w:hyperlink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11_40715321">
            <w:r w:rsidR="00824817">
              <w:rPr>
                <w:rStyle w:val="afc"/>
                <w:sz w:val="24"/>
                <w:szCs w:val="24"/>
              </w:rPr>
              <w:t>1.4. Существующее положение</w:t>
            </w:r>
            <w:r w:rsidR="00824817">
              <w:rPr>
                <w:rStyle w:val="afc"/>
                <w:sz w:val="24"/>
                <w:szCs w:val="24"/>
              </w:rPr>
              <w:tab/>
              <w:t>4</w:t>
            </w:r>
          </w:hyperlink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13_40715321">
            <w:r w:rsidR="00824817">
              <w:rPr>
                <w:rStyle w:val="afc"/>
                <w:sz w:val="24"/>
                <w:szCs w:val="2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824817">
              <w:rPr>
                <w:rStyle w:val="afc"/>
                <w:sz w:val="24"/>
                <w:szCs w:val="24"/>
              </w:rPr>
              <w:tab/>
              <w:t>4</w:t>
            </w:r>
          </w:hyperlink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15_40715321">
            <w:r w:rsidR="00824817">
              <w:rPr>
                <w:rStyle w:val="afc"/>
                <w:sz w:val="24"/>
                <w:szCs w:val="24"/>
              </w:rPr>
              <w:t>1.6. Иные требования и сведения общего характера</w:t>
            </w:r>
            <w:r w:rsidR="00824817">
              <w:rPr>
                <w:rStyle w:val="afc"/>
                <w:sz w:val="24"/>
                <w:szCs w:val="24"/>
              </w:rPr>
              <w:tab/>
              <w:t>4</w:t>
            </w:r>
          </w:hyperlink>
        </w:p>
        <w:p w:rsidR="003175F0" w:rsidRDefault="00362029">
          <w:pPr>
            <w:pStyle w:val="18"/>
            <w:tabs>
              <w:tab w:val="right" w:leader="dot" w:pos="9921"/>
            </w:tabs>
          </w:pPr>
          <w:hyperlink w:anchor="__RefHeading___Toc917_40715321">
            <w:r w:rsidR="00824817">
              <w:rPr>
                <w:rStyle w:val="afc"/>
              </w:rPr>
              <w:t xml:space="preserve">2. </w:t>
            </w:r>
            <w:r w:rsidR="00824817">
              <w:rPr>
                <w:rStyle w:val="afc"/>
                <w:iCs/>
              </w:rPr>
              <w:t>Требования к продукции</w:t>
            </w:r>
            <w:r w:rsidR="00824817">
              <w:rPr>
                <w:rStyle w:val="afc"/>
              </w:rPr>
              <w:tab/>
            </w:r>
          </w:hyperlink>
          <w:r w:rsidR="00824817">
            <w:t>4</w:t>
          </w:r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19_40715321">
            <w:r w:rsidR="00824817">
              <w:rPr>
                <w:rStyle w:val="afc"/>
                <w:sz w:val="24"/>
                <w:szCs w:val="24"/>
              </w:rPr>
              <w:t>2.1. Требования к объемам и срокам поставки</w:t>
            </w:r>
            <w:r w:rsidR="00824817">
              <w:rPr>
                <w:rStyle w:val="afc"/>
                <w:sz w:val="24"/>
                <w:szCs w:val="24"/>
              </w:rPr>
              <w:tab/>
              <w:t>4</w:t>
            </w:r>
          </w:hyperlink>
        </w:p>
        <w:p w:rsidR="003175F0" w:rsidRDefault="00824817">
          <w:pPr>
            <w:pStyle w:val="33"/>
            <w:tabs>
              <w:tab w:val="right" w:leader="dot" w:pos="9921"/>
            </w:tabs>
          </w:pPr>
          <w:r>
            <w:rPr>
              <w:b w:val="0"/>
              <w:szCs w:val="24"/>
            </w:rPr>
            <w:t xml:space="preserve">     </w:t>
          </w:r>
          <w:hyperlink w:anchor="__RefHeading___Toc921_40715321">
            <w:r>
              <w:rPr>
                <w:rStyle w:val="afc"/>
                <w:b w:val="0"/>
                <w:szCs w:val="24"/>
              </w:rPr>
              <w:t>2.1.1. Перечень и объем закупаемой продукции</w:t>
            </w:r>
            <w:r>
              <w:rPr>
                <w:rStyle w:val="afc"/>
                <w:b w:val="0"/>
                <w:szCs w:val="24"/>
              </w:rPr>
              <w:tab/>
            </w:r>
          </w:hyperlink>
          <w:r>
            <w:rPr>
              <w:b w:val="0"/>
              <w:szCs w:val="24"/>
            </w:rPr>
            <w:t>4</w:t>
          </w:r>
        </w:p>
        <w:p w:rsidR="003175F0" w:rsidRDefault="00824817">
          <w:pPr>
            <w:pStyle w:val="33"/>
            <w:tabs>
              <w:tab w:val="right" w:leader="dot" w:pos="9921"/>
            </w:tabs>
          </w:pPr>
          <w:r>
            <w:rPr>
              <w:b w:val="0"/>
              <w:szCs w:val="24"/>
            </w:rPr>
            <w:t xml:space="preserve">     </w:t>
          </w:r>
          <w:hyperlink w:anchor="__RefHeading___Toc925_40715321">
            <w:r>
              <w:rPr>
                <w:rStyle w:val="afc"/>
                <w:b w:val="0"/>
                <w:szCs w:val="24"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c"/>
                <w:b w:val="0"/>
                <w:szCs w:val="24"/>
              </w:rPr>
              <w:tab/>
              <w:t>5</w:t>
            </w:r>
          </w:hyperlink>
        </w:p>
        <w:p w:rsidR="003175F0" w:rsidRDefault="00362029">
          <w:pPr>
            <w:pStyle w:val="41"/>
            <w:tabs>
              <w:tab w:val="right" w:leader="dot" w:pos="9921"/>
            </w:tabs>
          </w:pPr>
          <w:hyperlink w:anchor="__RefHeading___Toc929_40715321">
            <w:r w:rsidR="00824817">
              <w:rPr>
                <w:rStyle w:val="afc"/>
                <w:sz w:val="24"/>
                <w:szCs w:val="24"/>
              </w:rPr>
              <w:t>2.2. Требования к качеству продукции</w:t>
            </w:r>
            <w:r w:rsidR="00824817">
              <w:rPr>
                <w:rStyle w:val="afc"/>
                <w:sz w:val="24"/>
                <w:szCs w:val="24"/>
              </w:rPr>
              <w:tab/>
              <w:t>6</w:t>
            </w:r>
          </w:hyperlink>
        </w:p>
        <w:p w:rsidR="003175F0" w:rsidRDefault="00362029">
          <w:pPr>
            <w:pStyle w:val="18"/>
            <w:tabs>
              <w:tab w:val="right" w:leader="dot" w:pos="9921"/>
            </w:tabs>
          </w:pPr>
          <w:hyperlink w:anchor="__RefHeading___Toc935_40715321">
            <w:r w:rsidR="00824817">
              <w:rPr>
                <w:rStyle w:val="afc"/>
              </w:rPr>
              <w:t>3. Требования к документации по ценообразованию на этапе закупки</w:t>
            </w:r>
            <w:r w:rsidR="00824817">
              <w:rPr>
                <w:rStyle w:val="afc"/>
              </w:rPr>
              <w:tab/>
              <w:t>1</w:t>
            </w:r>
          </w:hyperlink>
          <w:r w:rsidR="00824817">
            <w:t>1</w:t>
          </w:r>
          <w:r w:rsidR="00824817">
            <w:fldChar w:fldCharType="end"/>
          </w:r>
        </w:p>
      </w:sdtContent>
    </w:sdt>
    <w:p w:rsidR="003175F0" w:rsidRDefault="0082481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175F0" w:rsidRDefault="00824817">
      <w:pPr>
        <w:pStyle w:val="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1" w:name="__RefHeading___Toc903_40715321"/>
      <w:bookmarkStart w:id="2" w:name="_Toc75446566"/>
      <w:bookmarkStart w:id="3" w:name="_Toc51339692"/>
      <w:bookmarkEnd w:id="1"/>
      <w:bookmarkEnd w:id="2"/>
      <w:bookmarkEnd w:id="3"/>
      <w:r>
        <w:rPr>
          <w:lang w:val="ru-RU"/>
        </w:rPr>
        <w:lastRenderedPageBreak/>
        <w:t>Общие сведения</w:t>
      </w:r>
    </w:p>
    <w:p w:rsidR="003175F0" w:rsidRDefault="00824817">
      <w:pPr>
        <w:pStyle w:val="4"/>
        <w:numPr>
          <w:ilvl w:val="1"/>
          <w:numId w:val="1"/>
        </w:numPr>
      </w:pPr>
      <w:bookmarkStart w:id="4" w:name="__RefHeading___Toc905_40715321"/>
      <w:bookmarkStart w:id="5" w:name="_Toc75446567"/>
      <w:bookmarkStart w:id="6" w:name="_Toc46743505"/>
      <w:bookmarkEnd w:id="4"/>
      <w:bookmarkEnd w:id="5"/>
      <w:bookmarkEnd w:id="6"/>
      <w:r>
        <w:t>Обозначения и сокращения</w:t>
      </w:r>
    </w:p>
    <w:tbl>
      <w:tblPr>
        <w:tblW w:w="9783" w:type="dxa"/>
        <w:jc w:val="center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3175F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 ПАО «РусГидро» - «Жигулевская ГЭС»</w:t>
            </w:r>
          </w:p>
        </w:tc>
      </w:tr>
      <w:tr w:rsidR="003175F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Публичное акционерное общество</w:t>
            </w:r>
          </w:p>
        </w:tc>
      </w:tr>
      <w:tr w:rsidR="003175F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Гидроэлектростанция</w:t>
            </w:r>
          </w:p>
        </w:tc>
      </w:tr>
      <w:tr w:rsidR="003175F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Материально-технические ресурсы, включая материалы и запчасти</w:t>
            </w:r>
          </w:p>
        </w:tc>
      </w:tr>
      <w:tr w:rsidR="003175F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</w:t>
            </w:r>
          </w:p>
        </w:tc>
      </w:tr>
      <w:tr w:rsidR="003175F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 w:rsidR="003175F0" w:rsidRDefault="003175F0">
      <w:pPr>
        <w:keepNext/>
        <w:keepLines/>
        <w:jc w:val="both"/>
        <w:rPr>
          <w:sz w:val="24"/>
          <w:szCs w:val="24"/>
        </w:rPr>
      </w:pPr>
    </w:p>
    <w:p w:rsidR="003175F0" w:rsidRDefault="003175F0">
      <w:pPr>
        <w:keepNext/>
        <w:keepLines/>
        <w:jc w:val="both"/>
        <w:rPr>
          <w:sz w:val="24"/>
          <w:szCs w:val="24"/>
        </w:rPr>
      </w:pPr>
    </w:p>
    <w:p w:rsidR="003175F0" w:rsidRDefault="003175F0">
      <w:pPr>
        <w:keepNext/>
        <w:keepLines/>
        <w:rPr>
          <w:sz w:val="24"/>
          <w:szCs w:val="24"/>
        </w:rPr>
      </w:pPr>
    </w:p>
    <w:p w:rsidR="003175F0" w:rsidRDefault="00824817">
      <w:pPr>
        <w:pStyle w:val="4"/>
        <w:numPr>
          <w:ilvl w:val="1"/>
          <w:numId w:val="1"/>
        </w:numPr>
      </w:pPr>
      <w:bookmarkStart w:id="7" w:name="__RefHeading___Toc907_40715321"/>
      <w:bookmarkStart w:id="8" w:name="_Toc46743506"/>
      <w:bookmarkStart w:id="9" w:name="_Toc75446568"/>
      <w:bookmarkEnd w:id="7"/>
      <w:bookmarkEnd w:id="8"/>
      <w:bookmarkEnd w:id="9"/>
      <w:r>
        <w:t>Наименование закупаемой продукции</w:t>
      </w:r>
    </w:p>
    <w:p w:rsidR="003175F0" w:rsidRDefault="00824817">
      <w:pPr>
        <w:widowControl w:val="0"/>
        <w:tabs>
          <w:tab w:val="left" w:pos="426"/>
        </w:tabs>
        <w:spacing w:before="120" w:after="120"/>
        <w:jc w:val="both"/>
      </w:pPr>
      <w:r>
        <w:rPr>
          <w:rFonts w:eastAsia="Calibri"/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КПД2  </w:t>
      </w:r>
      <w:r>
        <w:rPr>
          <w:color w:val="000000"/>
          <w:sz w:val="24"/>
          <w:szCs w:val="24"/>
        </w:rPr>
        <w:t>26.40.33</w:t>
      </w:r>
      <w:r>
        <w:rPr>
          <w:color w:val="auto"/>
          <w:sz w:val="24"/>
          <w:szCs w:val="24"/>
        </w:rPr>
        <w:t xml:space="preserve"> «</w:t>
      </w:r>
      <w:r>
        <w:rPr>
          <w:sz w:val="24"/>
          <w:szCs w:val="24"/>
        </w:rPr>
        <w:t xml:space="preserve">Поставка МТР для </w:t>
      </w:r>
      <w:r>
        <w:rPr>
          <w:color w:val="auto"/>
          <w:sz w:val="24"/>
          <w:szCs w:val="24"/>
        </w:rPr>
        <w:t>Филиала ПАО «РусГидро»-«Жигулевская ГЭС».</w:t>
      </w:r>
    </w:p>
    <w:p w:rsidR="003175F0" w:rsidRDefault="00824817">
      <w:pPr>
        <w:pStyle w:val="4"/>
        <w:numPr>
          <w:ilvl w:val="1"/>
          <w:numId w:val="1"/>
        </w:numPr>
        <w:spacing w:before="240"/>
        <w:ind w:left="431" w:hanging="431"/>
      </w:pPr>
      <w:bookmarkStart w:id="10" w:name="__RefHeading___Toc909_40715321"/>
      <w:bookmarkStart w:id="11" w:name="_Toc46743507"/>
      <w:bookmarkStart w:id="12" w:name="_Toc75446569"/>
      <w:bookmarkEnd w:id="10"/>
      <w:r>
        <w:t xml:space="preserve">Цель </w:t>
      </w:r>
      <w:bookmarkEnd w:id="11"/>
      <w:r>
        <w:rPr>
          <w:lang w:val="ru-RU"/>
        </w:rPr>
        <w:t xml:space="preserve">использования закупаемой продукции </w:t>
      </w:r>
      <w:bookmarkEnd w:id="12"/>
      <w:r>
        <w:t xml:space="preserve"> </w:t>
      </w:r>
    </w:p>
    <w:p w:rsidR="003175F0" w:rsidRDefault="00824817">
      <w:pPr>
        <w:widowControl w:val="0"/>
        <w:tabs>
          <w:tab w:val="left" w:pos="426"/>
        </w:tabs>
        <w:spacing w:before="120" w:after="240"/>
        <w:jc w:val="both"/>
      </w:pPr>
      <w:r>
        <w:rPr>
          <w:rStyle w:val="af5"/>
          <w:bCs/>
          <w:i w:val="0"/>
          <w:sz w:val="24"/>
          <w:szCs w:val="24"/>
          <w:shd w:val="clear" w:color="auto" w:fill="FFFFFF"/>
        </w:rPr>
        <w:t>МТР закупаются для использования в производственной деятельности.</w:t>
      </w:r>
    </w:p>
    <w:p w:rsidR="003175F0" w:rsidRDefault="00824817">
      <w:pPr>
        <w:pStyle w:val="4"/>
        <w:numPr>
          <w:ilvl w:val="1"/>
          <w:numId w:val="1"/>
        </w:numPr>
        <w:ind w:left="0" w:firstLine="57"/>
      </w:pPr>
      <w:bookmarkStart w:id="13" w:name="__RefHeading___Toc913_40715321"/>
      <w:bookmarkStart w:id="14" w:name="_Toc46743509"/>
      <w:bookmarkStart w:id="15" w:name="_Toc75446571"/>
      <w:bookmarkStart w:id="16" w:name="_Hlk49857604"/>
      <w:bookmarkEnd w:id="13"/>
      <w:r>
        <w:t xml:space="preserve">Информация в отношении исполнения договора, </w:t>
      </w:r>
      <w:bookmarkStart w:id="17" w:name="_Hlk46492347"/>
      <w:r>
        <w:t>которая должна быть учтена при подготовке заявк</w:t>
      </w:r>
      <w:bookmarkEnd w:id="17"/>
      <w:r>
        <w:t xml:space="preserve">и 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bookmarkEnd w:id="14"/>
      <w:bookmarkEnd w:id="15"/>
      <w:bookmarkEnd w:id="16"/>
      <w:r>
        <w:t xml:space="preserve"> на этапе исполнения договора)</w:t>
      </w:r>
    </w:p>
    <w:p w:rsidR="003175F0" w:rsidRDefault="00824817">
      <w:pPr>
        <w:spacing w:after="60"/>
        <w:jc w:val="both"/>
      </w:pPr>
      <w:r>
        <w:tab/>
      </w:r>
      <w:r>
        <w:rPr>
          <w:sz w:val="24"/>
          <w:szCs w:val="24"/>
        </w:rPr>
        <w:tab/>
        <w:t xml:space="preserve">Товары </w:t>
      </w:r>
      <w:r>
        <w:rPr>
          <w:rStyle w:val="af5"/>
          <w:rFonts w:eastAsia="Calibri"/>
          <w:bCs/>
          <w:i w:val="0"/>
          <w:sz w:val="24"/>
          <w:szCs w:val="24"/>
          <w:shd w:val="clear" w:color="auto" w:fill="FFFFFF"/>
          <w:lang w:eastAsia="x-none"/>
        </w:rPr>
        <w:t>поставляются на склад Заказчика по адресу: филиал ПАО «РусГидро» - «Жигулевская ГЭС», Московское шоссе, д.2, г. Жигулевск, Самарская обл., Российская Федерация, 445350.</w:t>
      </w:r>
    </w:p>
    <w:p w:rsidR="003175F0" w:rsidRDefault="00824817">
      <w:pPr>
        <w:pStyle w:val="4"/>
        <w:numPr>
          <w:ilvl w:val="1"/>
          <w:numId w:val="1"/>
        </w:numPr>
      </w:pPr>
      <w:bookmarkStart w:id="18" w:name="__RefHeading___Toc915_40715321"/>
      <w:bookmarkStart w:id="19" w:name="_Toc75446572"/>
      <w:bookmarkStart w:id="20" w:name="_Hlk482097611"/>
      <w:bookmarkStart w:id="21" w:name="_Toc46743510"/>
      <w:bookmarkStart w:id="22" w:name="_Toc50125126"/>
      <w:bookmarkEnd w:id="18"/>
      <w:bookmarkEnd w:id="19"/>
      <w:bookmarkEnd w:id="20"/>
      <w:bookmarkEnd w:id="21"/>
      <w:bookmarkEnd w:id="22"/>
      <w:r>
        <w:t>Иные требования и сведения общего характера</w:t>
      </w:r>
    </w:p>
    <w:p w:rsidR="003175F0" w:rsidRDefault="00824817">
      <w:pPr>
        <w:ind w:firstLine="426"/>
        <w:jc w:val="both"/>
      </w:pPr>
      <w:r>
        <w:rPr>
          <w:bCs/>
          <w:sz w:val="24"/>
          <w:szCs w:val="24"/>
        </w:rPr>
        <w:t>Участник готовит и предоставляет информацию согласно требованиям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совместимом с программными продуктами AlterOffice, LibreOffice и MS Office.</w:t>
      </w:r>
    </w:p>
    <w:p w:rsidR="003175F0" w:rsidRDefault="00824817">
      <w:pPr>
        <w:widowControl w:val="0"/>
        <w:tabs>
          <w:tab w:val="left" w:pos="993"/>
        </w:tabs>
        <w:ind w:firstLine="510"/>
        <w:jc w:val="both"/>
      </w:pPr>
      <w:r>
        <w:rPr>
          <w:rFonts w:eastAsia="Calibri"/>
          <w:sz w:val="24"/>
          <w:szCs w:val="24"/>
          <w:lang w:eastAsia="x-none"/>
        </w:rPr>
        <w:t>Участник должен представить техническое предложение, состоящее из комментариев по исполнению требований Таблицы 3 настоящих ТТ, заполнив столбец 6 «Предложение участника по характеристикам и параметрам».</w:t>
      </w:r>
    </w:p>
    <w:p w:rsidR="003175F0" w:rsidRDefault="00824817">
      <w:pPr>
        <w:ind w:firstLine="426"/>
        <w:jc w:val="both"/>
      </w:pPr>
      <w:r>
        <w:rPr>
          <w:rStyle w:val="af5"/>
          <w:rFonts w:eastAsia="Calibri"/>
          <w:i w:val="0"/>
          <w:sz w:val="24"/>
          <w:szCs w:val="24"/>
          <w:shd w:val="clear" w:color="auto" w:fill="FFFFFF"/>
          <w:lang w:eastAsia="x-none"/>
        </w:rPr>
        <w:t xml:space="preserve">При составлении технического предложения возможно использование эквивалентной продукции. Эквивалентной продукцией является товар, который по техническим и функциональным характеристикам, установочным размерам, не уступает характеристикам, заявленным в документации о закупке, в том числе, по гарантийным срокам и срокам эксплуатации. </w:t>
      </w:r>
    </w:p>
    <w:p w:rsidR="003175F0" w:rsidRDefault="00824817">
      <w:pPr>
        <w:widowControl w:val="0"/>
        <w:tabs>
          <w:tab w:val="left" w:pos="993"/>
        </w:tabs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Неисполнение вышеуказанных требований будет служить основанием для отклонения заявки Участника.</w:t>
      </w:r>
    </w:p>
    <w:p w:rsidR="003175F0" w:rsidRDefault="003175F0">
      <w:pPr>
        <w:widowControl w:val="0"/>
        <w:tabs>
          <w:tab w:val="left" w:pos="993"/>
        </w:tabs>
        <w:ind w:firstLine="454"/>
        <w:jc w:val="both"/>
        <w:rPr>
          <w:sz w:val="24"/>
          <w:szCs w:val="24"/>
        </w:rPr>
      </w:pPr>
    </w:p>
    <w:p w:rsidR="003175F0" w:rsidRDefault="00824817">
      <w:pPr>
        <w:pStyle w:val="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23" w:name="__RefHeading___Toc917_40715321"/>
      <w:bookmarkStart w:id="24" w:name="_Toc75446573"/>
      <w:bookmarkStart w:id="25" w:name="_Toc51339693"/>
      <w:bookmarkEnd w:id="23"/>
      <w:bookmarkEnd w:id="24"/>
      <w:bookmarkEnd w:id="25"/>
      <w:r>
        <w:rPr>
          <w:iCs/>
        </w:rPr>
        <w:lastRenderedPageBreak/>
        <w:t>Требования к продукции</w:t>
      </w:r>
    </w:p>
    <w:p w:rsidR="003175F0" w:rsidRDefault="00824817">
      <w:pPr>
        <w:pStyle w:val="4"/>
        <w:numPr>
          <w:ilvl w:val="1"/>
          <w:numId w:val="1"/>
        </w:numPr>
      </w:pPr>
      <w:bookmarkStart w:id="26" w:name="__RefHeading___Toc919_40715321"/>
      <w:bookmarkStart w:id="27" w:name="_Toc75446574"/>
      <w:bookmarkEnd w:id="26"/>
      <w:r>
        <w:t xml:space="preserve">Требования к объемам и срокам </w:t>
      </w:r>
      <w:bookmarkEnd w:id="27"/>
      <w:r>
        <w:rPr>
          <w:lang w:val="ru-RU"/>
        </w:rPr>
        <w:t>поставки</w:t>
      </w:r>
    </w:p>
    <w:p w:rsidR="003175F0" w:rsidRDefault="00824817">
      <w:pPr>
        <w:pStyle w:val="3"/>
        <w:numPr>
          <w:ilvl w:val="2"/>
          <w:numId w:val="1"/>
        </w:numPr>
        <w:rPr>
          <w:lang w:val="ru-RU"/>
        </w:rPr>
      </w:pPr>
      <w:bookmarkStart w:id="28" w:name="__RefHeading___Toc921_40715321"/>
      <w:bookmarkStart w:id="29" w:name="_Toc75446575"/>
      <w:bookmarkEnd w:id="28"/>
      <w:bookmarkEnd w:id="29"/>
      <w:r>
        <w:rPr>
          <w:lang w:val="ru-RU"/>
        </w:rPr>
        <w:t>Перечень и объем закупаемой продукции</w:t>
      </w:r>
    </w:p>
    <w:p w:rsidR="003175F0" w:rsidRDefault="00824817">
      <w:pPr>
        <w:pStyle w:val="1"/>
        <w:tabs>
          <w:tab w:val="clear" w:pos="0"/>
        </w:tabs>
        <w:spacing w:before="240"/>
        <w:ind w:left="0" w:firstLine="0"/>
        <w:rPr>
          <w:b w:val="0"/>
        </w:rPr>
      </w:pPr>
      <w:bookmarkStart w:id="30" w:name="__RefHeading___Toc923_40715321"/>
      <w:bookmarkStart w:id="31" w:name="_Toc51339695"/>
      <w:bookmarkStart w:id="32" w:name="_Toc75446576"/>
      <w:bookmarkEnd w:id="30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  <w:lang w:val="ru-RU"/>
        </w:rPr>
        <w:t>1.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 xml:space="preserve">Перечень </w:t>
      </w:r>
      <w:bookmarkEnd w:id="31"/>
      <w:bookmarkEnd w:id="32"/>
      <w:r>
        <w:rPr>
          <w:b w:val="0"/>
          <w:sz w:val="24"/>
          <w:szCs w:val="24"/>
          <w:lang w:val="ru-RU"/>
        </w:rPr>
        <w:t>и объем закупаемых товаров</w:t>
      </w:r>
    </w:p>
    <w:tbl>
      <w:tblPr>
        <w:tblW w:w="9812" w:type="dxa"/>
        <w:tblInd w:w="121" w:type="dxa"/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835"/>
        <w:gridCol w:w="6143"/>
        <w:gridCol w:w="1425"/>
        <w:gridCol w:w="1409"/>
      </w:tblGrid>
      <w:tr w:rsidR="003175F0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75F0" w:rsidRDefault="00824817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3175F0" w:rsidRDefault="00824817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75F0" w:rsidRDefault="00824817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товаров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75F0" w:rsidRDefault="00824817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75F0" w:rsidRDefault="00824817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175F0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75F0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0"/>
              <w:widowControl w:val="0"/>
              <w:spacing w:after="0" w:line="30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Поворотная IP-камера iFlow F-IP-1441CMSZ4</w:t>
            </w:r>
          </w:p>
          <w:p w:rsidR="003175F0" w:rsidRDefault="00824817">
            <w:pPr>
              <w:pStyle w:val="aff0"/>
              <w:widowControl w:val="0"/>
              <w:spacing w:after="0" w:line="30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производителя : 327001943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75F0"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0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Кронштейн для установки на стену DS-1294ZJ-PT</w:t>
            </w:r>
          </w:p>
          <w:p w:rsidR="003175F0" w:rsidRDefault="0082481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Артикул: 302702118</w:t>
            </w:r>
          </w:p>
          <w:p w:rsidR="003175F0" w:rsidRDefault="0082481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или эквивалент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75F0"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IP-видеорегистратор 16-и канальный iFlow F-NR-216X/2</w:t>
            </w:r>
          </w:p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Артикул: 303622442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75F0"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Неуправляемый коммутатор iFlow F-SW-EU418POE-V/L</w:t>
            </w:r>
          </w:p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Артикул: 301803328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75F0"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D-Link DMC-300SC Медиаконвертер с 1 портом 10/100Base-TX и 1 портом 100Base-FX с разъемом SC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75F0"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REXANT витая пара UTP 4PR 24AWG, CAT5e наружный OUTDOOR черный, бухта 305 м</w:t>
            </w:r>
          </w:p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или эквивалент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 w:rsidR="003175F0"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Pr="00824817" w:rsidRDefault="00824817">
            <w:pPr>
              <w:pStyle w:val="affff5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Жесткий</w:t>
            </w:r>
            <w:r w:rsidRPr="0082481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диск</w:t>
            </w:r>
            <w:r w:rsidRPr="00824817">
              <w:rPr>
                <w:sz w:val="24"/>
                <w:szCs w:val="24"/>
                <w:lang w:val="en-US"/>
              </w:rPr>
              <w:t xml:space="preserve"> 10 </w:t>
            </w:r>
            <w:r>
              <w:rPr>
                <w:sz w:val="24"/>
                <w:szCs w:val="24"/>
              </w:rPr>
              <w:t>ТБ</w:t>
            </w:r>
            <w:r w:rsidRPr="00824817">
              <w:rPr>
                <w:sz w:val="24"/>
                <w:szCs w:val="24"/>
                <w:lang w:val="en-US"/>
              </w:rPr>
              <w:t xml:space="preserve">  Seagate SkyHawk AI [ST10000VE001]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75F0"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Магнитное крепление с зенковкой А48 ПРОФ-МАГНИТ сцепление 68 кг</w:t>
            </w:r>
          </w:p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или эквивалент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3175F0" w:rsidRDefault="003175F0">
      <w:pPr>
        <w:widowControl w:val="0"/>
        <w:tabs>
          <w:tab w:val="left" w:pos="426"/>
        </w:tabs>
        <w:spacing w:before="120" w:after="120"/>
        <w:ind w:firstLine="142"/>
        <w:rPr>
          <w:rStyle w:val="af5"/>
          <w:bCs/>
          <w:sz w:val="24"/>
          <w:szCs w:val="24"/>
        </w:rPr>
      </w:pPr>
    </w:p>
    <w:p w:rsidR="003175F0" w:rsidRDefault="00824817">
      <w:pPr>
        <w:pStyle w:val="3"/>
        <w:numPr>
          <w:ilvl w:val="2"/>
          <w:numId w:val="1"/>
        </w:numPr>
      </w:pPr>
      <w:bookmarkStart w:id="33" w:name="__RefHeading___Toc925_40715321"/>
      <w:bookmarkStart w:id="34" w:name="_Toc51339696"/>
      <w:bookmarkStart w:id="35" w:name="_Toc75446578"/>
      <w:bookmarkEnd w:id="33"/>
      <w:r>
        <w:rPr>
          <w:lang w:val="ru-RU"/>
        </w:rPr>
        <w:t xml:space="preserve">Требования </w:t>
      </w:r>
      <w:bookmarkEnd w:id="34"/>
      <w:bookmarkEnd w:id="35"/>
      <w:r>
        <w:rPr>
          <w:lang w:val="ru-RU"/>
        </w:rPr>
        <w:t>к срокам поставки продукции и оказания сопутствующих услуг</w:t>
      </w:r>
    </w:p>
    <w:p w:rsidR="003175F0" w:rsidRDefault="00824817">
      <w:pPr>
        <w:pStyle w:val="1"/>
        <w:keepLines/>
        <w:tabs>
          <w:tab w:val="clear" w:pos="0"/>
        </w:tabs>
        <w:spacing w:before="240"/>
        <w:ind w:left="0" w:firstLine="0"/>
        <w:rPr>
          <w:b w:val="0"/>
        </w:rPr>
      </w:pPr>
      <w:bookmarkStart w:id="36" w:name="__RefHeading___Toc927_40715321"/>
      <w:bookmarkStart w:id="37" w:name="_Toc501251261"/>
      <w:bookmarkStart w:id="38" w:name="_Toc51339697"/>
      <w:bookmarkStart w:id="39" w:name="_Toc50125127"/>
      <w:bookmarkStart w:id="40" w:name="_Toc75446579"/>
      <w:bookmarkEnd w:id="36"/>
      <w:bookmarkEnd w:id="37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  <w:lang w:val="ru-RU"/>
        </w:rPr>
        <w:t>2</w:t>
      </w:r>
      <w:r>
        <w:rPr>
          <w:b w:val="0"/>
          <w:sz w:val="24"/>
          <w:szCs w:val="24"/>
        </w:rPr>
        <w:t xml:space="preserve">. </w:t>
      </w:r>
      <w:bookmarkStart w:id="41" w:name="_Hlk50465284"/>
      <w:r>
        <w:rPr>
          <w:b w:val="0"/>
          <w:sz w:val="24"/>
          <w:szCs w:val="24"/>
        </w:rPr>
        <w:t xml:space="preserve">Требования по срокам </w:t>
      </w:r>
      <w:bookmarkEnd w:id="38"/>
      <w:bookmarkEnd w:id="39"/>
      <w:bookmarkEnd w:id="41"/>
      <w:r>
        <w:rPr>
          <w:b w:val="0"/>
          <w:sz w:val="24"/>
          <w:szCs w:val="24"/>
          <w:lang w:val="ru-RU"/>
        </w:rPr>
        <w:t xml:space="preserve">поставки </w:t>
      </w:r>
      <w:bookmarkEnd w:id="40"/>
      <w:r>
        <w:rPr>
          <w:b w:val="0"/>
          <w:sz w:val="24"/>
          <w:szCs w:val="24"/>
          <w:lang w:val="ru-RU"/>
        </w:rPr>
        <w:t>товаров</w:t>
      </w:r>
    </w:p>
    <w:tbl>
      <w:tblPr>
        <w:tblW w:w="9776" w:type="dxa"/>
        <w:tblInd w:w="33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634"/>
        <w:gridCol w:w="3398"/>
        <w:gridCol w:w="2629"/>
        <w:gridCol w:w="3115"/>
      </w:tblGrid>
      <w:tr w:rsidR="003175F0"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/ партии товаров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товаров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товаров</w:t>
            </w:r>
          </w:p>
        </w:tc>
      </w:tr>
      <w:tr w:rsidR="003175F0"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75F0">
        <w:trPr>
          <w:trHeight w:val="560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pStyle w:val="afff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0"/>
              <w:widowControl w:val="0"/>
              <w:spacing w:after="0" w:line="300" w:lineRule="atLeast"/>
              <w:rPr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Поворотная IP-камера iFlow F-IP-1441CMSZ4</w:t>
            </w:r>
          </w:p>
        </w:tc>
        <w:tc>
          <w:tcPr>
            <w:tcW w:w="2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даты подпи</w:t>
            </w:r>
            <w:r>
              <w:rPr>
                <w:sz w:val="24"/>
                <w:szCs w:val="24"/>
              </w:rPr>
              <w:t>сания договора</w:t>
            </w:r>
          </w:p>
        </w:tc>
        <w:tc>
          <w:tcPr>
            <w:tcW w:w="3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 30 календарных дней с даты подписания договора</w:t>
            </w:r>
          </w:p>
        </w:tc>
      </w:tr>
      <w:tr w:rsidR="003175F0">
        <w:trPr>
          <w:trHeight w:val="561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pStyle w:val="afff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0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Кронштейн для установки на стену DS-1294ZJ-PT</w:t>
            </w:r>
          </w:p>
          <w:p w:rsidR="003175F0" w:rsidRDefault="0082481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Артикул: 302702118</w:t>
            </w:r>
          </w:p>
          <w:p w:rsidR="003175F0" w:rsidRDefault="0082481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или эквивалент</w:t>
            </w:r>
          </w:p>
        </w:tc>
        <w:tc>
          <w:tcPr>
            <w:tcW w:w="2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rPr>
          <w:trHeight w:val="573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pStyle w:val="afff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IP-видеорегистратор 16-и канальный iFlow F-NR-216X/2 Артикул: 303622442</w:t>
            </w:r>
          </w:p>
        </w:tc>
        <w:tc>
          <w:tcPr>
            <w:tcW w:w="2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rPr>
          <w:trHeight w:val="902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pStyle w:val="afff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Неуправляемый коммутатор iFlow F-SW-EU418POE-V/L</w:t>
            </w:r>
          </w:p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Артикул: 301803328</w:t>
            </w:r>
          </w:p>
        </w:tc>
        <w:tc>
          <w:tcPr>
            <w:tcW w:w="2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rPr>
          <w:trHeight w:val="902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pStyle w:val="afff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D-Link DMC-300SC Медиаконвертер с 1 портом 10/100Base-TX и 1 портом 100Base-FX с разъемом SC</w:t>
            </w:r>
          </w:p>
        </w:tc>
        <w:tc>
          <w:tcPr>
            <w:tcW w:w="2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rPr>
          <w:trHeight w:val="902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pStyle w:val="afff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REXANT витая пара UTP 4PR 24AWG, CAT5e наружный OUTDOOR черный, бухта 305 м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или эквивалент</w:t>
            </w:r>
          </w:p>
        </w:tc>
        <w:tc>
          <w:tcPr>
            <w:tcW w:w="2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 w:rsidRPr="00362029">
        <w:trPr>
          <w:trHeight w:val="627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pStyle w:val="afff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Pr="00824817" w:rsidRDefault="00824817">
            <w:pPr>
              <w:pStyle w:val="affff5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Жесткий</w:t>
            </w:r>
            <w:r w:rsidRPr="0082481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диск</w:t>
            </w:r>
            <w:r w:rsidRPr="00824817">
              <w:rPr>
                <w:sz w:val="24"/>
                <w:szCs w:val="24"/>
                <w:lang w:val="en-US"/>
              </w:rPr>
              <w:t xml:space="preserve"> 10 </w:t>
            </w:r>
            <w:r>
              <w:rPr>
                <w:sz w:val="24"/>
                <w:szCs w:val="24"/>
              </w:rPr>
              <w:t>ТБ</w:t>
            </w:r>
            <w:r w:rsidRPr="00824817">
              <w:rPr>
                <w:sz w:val="24"/>
                <w:szCs w:val="24"/>
                <w:lang w:val="en-US"/>
              </w:rPr>
              <w:t xml:space="preserve">  Seagate SkyHawk AI [ST10000VE001]</w:t>
            </w:r>
          </w:p>
        </w:tc>
        <w:tc>
          <w:tcPr>
            <w:tcW w:w="2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Pr="00824817" w:rsidRDefault="003175F0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Pr="00824817" w:rsidRDefault="003175F0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3175F0">
        <w:trPr>
          <w:trHeight w:val="902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Pr="00824817" w:rsidRDefault="003175F0">
            <w:pPr>
              <w:pStyle w:val="afff6"/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Магнитное крепление с зенковкой А48 ПРОФ-МАГНИТ сцепление 68 кг      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или эквивалент</w:t>
            </w:r>
          </w:p>
        </w:tc>
        <w:tc>
          <w:tcPr>
            <w:tcW w:w="2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175F0" w:rsidRDefault="003175F0">
      <w:pPr>
        <w:sectPr w:rsidR="003175F0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3175F0" w:rsidRDefault="00824817">
      <w:pPr>
        <w:pStyle w:val="4"/>
        <w:numPr>
          <w:ilvl w:val="1"/>
          <w:numId w:val="1"/>
        </w:numPr>
      </w:pPr>
      <w:bookmarkStart w:id="42" w:name="__RefHeading___Toc929_40715321"/>
      <w:bookmarkStart w:id="43" w:name="_Toc46743511"/>
      <w:bookmarkStart w:id="44" w:name="_Toc75446581"/>
      <w:bookmarkStart w:id="45" w:name="_Toc51339698"/>
      <w:bookmarkEnd w:id="42"/>
      <w:r>
        <w:lastRenderedPageBreak/>
        <w:t xml:space="preserve">Требования к </w:t>
      </w:r>
      <w:bookmarkEnd w:id="43"/>
      <w:bookmarkEnd w:id="44"/>
      <w:r>
        <w:rPr>
          <w:lang w:val="ru-RU"/>
        </w:rPr>
        <w:t>качеству продукции</w:t>
      </w:r>
    </w:p>
    <w:p w:rsidR="003175F0" w:rsidRDefault="00824817">
      <w:pPr>
        <w:pStyle w:val="1"/>
        <w:keepLines/>
        <w:tabs>
          <w:tab w:val="clear" w:pos="0"/>
        </w:tabs>
        <w:spacing w:before="240"/>
        <w:ind w:left="0" w:firstLine="0"/>
        <w:rPr>
          <w:b w:val="0"/>
        </w:rPr>
      </w:pPr>
      <w:bookmarkStart w:id="46" w:name="__RefHeading___Toc931_40715321"/>
      <w:bookmarkEnd w:id="46"/>
      <w:r>
        <w:rPr>
          <w:b w:val="0"/>
          <w:sz w:val="24"/>
          <w:szCs w:val="24"/>
        </w:rPr>
        <w:t xml:space="preserve"> </w:t>
      </w:r>
      <w:bookmarkStart w:id="47" w:name="_Toc75446582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  <w:lang w:val="ru-RU"/>
        </w:rPr>
        <w:t>3</w:t>
      </w:r>
      <w:r>
        <w:rPr>
          <w:b w:val="0"/>
          <w:sz w:val="24"/>
          <w:szCs w:val="24"/>
        </w:rPr>
        <w:t xml:space="preserve">. Требования к </w:t>
      </w:r>
      <w:bookmarkEnd w:id="45"/>
      <w:bookmarkEnd w:id="47"/>
      <w:r>
        <w:rPr>
          <w:b w:val="0"/>
          <w:sz w:val="24"/>
          <w:szCs w:val="24"/>
        </w:rPr>
        <w:t>товарам</w:t>
      </w:r>
    </w:p>
    <w:p w:rsidR="003175F0" w:rsidRDefault="00824817">
      <w:pPr>
        <w:spacing w:before="113" w:after="113"/>
        <w:jc w:val="both"/>
      </w:pPr>
      <w:r>
        <w:rPr>
          <w:b/>
          <w:bCs/>
          <w:i/>
          <w:iCs/>
          <w:sz w:val="24"/>
          <w:szCs w:val="24"/>
        </w:rPr>
        <w:t>Наименование товаров (Таблица 1.)</w:t>
      </w:r>
    </w:p>
    <w:tbl>
      <w:tblPr>
        <w:tblStyle w:val="affff8"/>
        <w:tblW w:w="15315" w:type="dxa"/>
        <w:tblInd w:w="28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852"/>
        <w:gridCol w:w="1985"/>
        <w:gridCol w:w="3003"/>
        <w:gridCol w:w="2803"/>
        <w:gridCol w:w="3262"/>
        <w:gridCol w:w="3410"/>
      </w:tblGrid>
      <w:tr w:rsidR="003175F0">
        <w:tc>
          <w:tcPr>
            <w:tcW w:w="851" w:type="dxa"/>
            <w:vMerge w:val="restart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003" w:type="dxa"/>
            <w:vMerge w:val="restart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065" w:type="dxa"/>
            <w:gridSpan w:val="2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3410" w:type="dxa"/>
            <w:vMerge w:val="restart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3175F0">
        <w:tc>
          <w:tcPr>
            <w:tcW w:w="851" w:type="dxa"/>
            <w:vMerge/>
            <w:shd w:val="clear" w:color="auto" w:fill="auto"/>
            <w:vAlign w:val="center"/>
          </w:tcPr>
          <w:p w:rsidR="003175F0" w:rsidRDefault="003175F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175F0" w:rsidRDefault="003175F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  <w:vMerge/>
            <w:shd w:val="clear" w:color="auto" w:fill="auto"/>
            <w:vAlign w:val="center"/>
          </w:tcPr>
          <w:p w:rsidR="003175F0" w:rsidRDefault="003175F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0" w:type="dxa"/>
            <w:vMerge/>
            <w:shd w:val="clear" w:color="auto" w:fill="auto"/>
            <w:vAlign w:val="center"/>
          </w:tcPr>
          <w:p w:rsidR="003175F0" w:rsidRDefault="003175F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Поворотная IP-камера iFlow F-IP-1441CMSZ4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Артикул: 327001943</w:t>
            </w:r>
          </w:p>
        </w:tc>
        <w:tc>
          <w:tcPr>
            <w:tcW w:w="3003" w:type="dxa"/>
            <w:shd w:val="clear" w:color="auto" w:fill="auto"/>
          </w:tcPr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Поворотная IP-камера с ИК-подсветкой;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Максимальное разрешение — 4 Мп;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Основной поток:</w:t>
            </w:r>
            <w:r>
              <w:rPr>
                <w:color w:val="000000"/>
                <w:sz w:val="20"/>
                <w:szCs w:val="20"/>
              </w:rPr>
              <w:tab/>
              <w:t>50 Гц: 25 к/с (2560 × 1440, 1920 × 1080, 1280 × 960, 1280 × 720)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Гц: 30 к/с (2560 × 1440, 1920 × 1080, 1280 × 960, 1280 × 720);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4х оптический зум;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Кодирование H.264 и H.265;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Широкий динамический диапазон (WDR):</w:t>
            </w:r>
            <w:r>
              <w:rPr>
                <w:color w:val="000000"/>
                <w:sz w:val="20"/>
                <w:szCs w:val="20"/>
              </w:rPr>
              <w:tab/>
              <w:t>120 дБ;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SNR</w:t>
            </w:r>
            <w:r>
              <w:rPr>
                <w:color w:val="000000"/>
                <w:sz w:val="20"/>
                <w:szCs w:val="20"/>
              </w:rPr>
              <w:tab/>
              <w:t>&gt; 52 дБ;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Фокус на области:</w:t>
            </w:r>
            <w:r>
              <w:rPr>
                <w:color w:val="000000"/>
                <w:sz w:val="20"/>
                <w:szCs w:val="20"/>
              </w:rPr>
              <w:tab/>
              <w:t>Есть;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Экспозиция области:</w:t>
            </w:r>
            <w:r>
              <w:rPr>
                <w:color w:val="000000"/>
                <w:sz w:val="20"/>
                <w:szCs w:val="20"/>
              </w:rPr>
              <w:tab/>
              <w:t>Есть;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Интерфейс Ethernet</w:t>
            </w:r>
            <w:r>
              <w:rPr>
                <w:color w:val="000000"/>
                <w:sz w:val="20"/>
                <w:szCs w:val="20"/>
              </w:rPr>
              <w:tab/>
              <w:t>1 RJ45 auto 10M / 100M порт Ethernet;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 микрофон:</w:t>
            </w:r>
            <w:r>
              <w:rPr>
                <w:color w:val="000000"/>
                <w:sz w:val="20"/>
                <w:szCs w:val="20"/>
              </w:rPr>
              <w:tab/>
              <w:t>1 встроенный микрофон, улавливающий звук в радиусе до 5 м;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Стандарты по защите: IP66, IK10, TVS 4000 В грозозащита, защита от импульсных и </w:t>
            </w:r>
            <w:r>
              <w:rPr>
                <w:color w:val="000000"/>
                <w:sz w:val="20"/>
                <w:szCs w:val="20"/>
              </w:rPr>
              <w:lastRenderedPageBreak/>
              <w:t>переходных перенапряжений;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Рабочие условия: температура от -20 до +60 °C, влажность 90 % или меньше;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Питание</w:t>
            </w:r>
            <w:r>
              <w:rPr>
                <w:color w:val="000000"/>
                <w:sz w:val="20"/>
                <w:szCs w:val="20"/>
              </w:rPr>
              <w:tab/>
              <w:t>: DC 12 В, макс. 9.2 Вт; PoE (802.3af);</w:t>
            </w:r>
          </w:p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Размеры:</w:t>
            </w:r>
            <w:r>
              <w:rPr>
                <w:color w:val="000000"/>
                <w:sz w:val="20"/>
                <w:szCs w:val="20"/>
              </w:rPr>
              <w:tab/>
              <w:t>Ø 130.7 × 101.7 мм (Ø 5.15 × 4.00″)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lastRenderedPageBreak/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Кронштейн для установки на стену DS-1294ZJ-PT</w:t>
            </w:r>
          </w:p>
          <w:p w:rsidR="003175F0" w:rsidRDefault="0082481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Артикул: 302702118 или эквивалент</w:t>
            </w:r>
          </w:p>
        </w:tc>
        <w:tc>
          <w:tcPr>
            <w:tcW w:w="3003" w:type="dxa"/>
            <w:shd w:val="clear" w:color="auto" w:fill="auto"/>
            <w:tcMar>
              <w:top w:w="55" w:type="dxa"/>
              <w:bottom w:w="55" w:type="dxa"/>
            </w:tcMar>
          </w:tcPr>
          <w:p w:rsidR="003175F0" w:rsidRDefault="00824817">
            <w:pPr>
              <w:pStyle w:val="aff0"/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Кронштейн для установки на стену поворотной камеры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 и(или) предложение эквивалентной продукции с указанием характеристик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P-видеорегистратор 16-и канальный iFlow F-NR-216X/2 Артикул: 303622442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IP-видеорегистратор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каналов : 16;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разрешение: 12 Мп;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HDD: 2;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IP;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технологии: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SharpSense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Неуправляемый коммутатор iFlow F-SW-EU418POE-V/L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Артикул: 301803328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Неуправляемый коммутатор L2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портов 10/100M RJ45 PoE, 1 uplink порт 1000М RJ45, 1 1000М комбо-порт, 802.3af/at, бюджет питания PoE 130 Вт, порты 9-16 поддерживают режима передачи до 300м,10Мб/с, CAT6; защита от перенапряжения 6 кВ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D-Link DMC-300SC Медиаконвертер с 1 портом 10/100Base-TX и 1 портом 100Base-FX с разъемом SC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Медиаконвертер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 10/100Base-TX;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 100Base-FX с разъемом SC;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дуплексный режим оптического порта;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Адаптер питания  5В / 1 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Кабель REXANT витая пара UTP 4PR 24AWG, CAT5e наружный OUTDOOR черный, бухта 305 м           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CAT5e наружный OUTDOOR черный,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бухта 305 м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 и(или) предложение эквивалентной продукции с указанием характеристик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</w:tcPr>
          <w:p w:rsidR="003175F0" w:rsidRPr="00824817" w:rsidRDefault="00824817">
            <w:pPr>
              <w:pStyle w:val="affff5"/>
              <w:widowControl w:val="0"/>
              <w:rPr>
                <w:lang w:val="en-US"/>
              </w:rPr>
            </w:pPr>
            <w:r>
              <w:rPr>
                <w:sz w:val="20"/>
                <w:szCs w:val="20"/>
              </w:rPr>
              <w:t>Жесткий</w:t>
            </w:r>
            <w:r w:rsidRPr="008248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диск</w:t>
            </w:r>
            <w:r w:rsidRPr="00824817">
              <w:rPr>
                <w:sz w:val="20"/>
                <w:szCs w:val="20"/>
                <w:lang w:val="en-US"/>
              </w:rPr>
              <w:t xml:space="preserve"> 10 </w:t>
            </w:r>
            <w:r>
              <w:rPr>
                <w:sz w:val="20"/>
                <w:szCs w:val="20"/>
              </w:rPr>
              <w:t>ТБ</w:t>
            </w:r>
            <w:r w:rsidRPr="00824817">
              <w:rPr>
                <w:sz w:val="20"/>
                <w:szCs w:val="20"/>
                <w:lang w:val="en-US"/>
              </w:rPr>
              <w:t xml:space="preserve">  Seagate SkyHawk AI [ST10000VE001]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Емкость 10 ТБ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Магнитное крепление с зенковкой А48 ПРОФ-МАГНИТ сцепление 68 кг      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Магнитное крепление с зенковкой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Материал:сталь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Форма:диск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Диаметр:48 мм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Высота:11 мм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Сцепление:68 кг</w:t>
            </w:r>
          </w:p>
          <w:p w:rsidR="003175F0" w:rsidRDefault="00824817">
            <w:pPr>
              <w:pStyle w:val="afff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Покрытие:никель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pStyle w:val="affff5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 и(или) предложение эквивалентной продукции с указанием характеристик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3175F0" w:rsidRDefault="008248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30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Поставка товаров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3175F0" w:rsidRDefault="003175F0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10" w:type="dxa"/>
            <w:shd w:val="clear" w:color="auto" w:fill="auto"/>
          </w:tcPr>
          <w:p w:rsidR="003175F0" w:rsidRDefault="003175F0">
            <w:pPr>
              <w:widowControl w:val="0"/>
            </w:pP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 упаковке</w:t>
            </w:r>
          </w:p>
        </w:tc>
        <w:tc>
          <w:tcPr>
            <w:tcW w:w="3003" w:type="dxa"/>
            <w:shd w:val="clear" w:color="auto" w:fill="auto"/>
          </w:tcPr>
          <w:p w:rsidR="003175F0" w:rsidRDefault="00824817">
            <w:pPr>
              <w:widowControl w:val="0"/>
              <w:tabs>
                <w:tab w:val="left" w:pos="432"/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Поставляемые товары должны быть в оригинальной заводской упаковке производителя. Упаковка должна обеспечивать полную сохранность товара при транспортировке, погрузке, разгрузке и хранении.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3175F0" w:rsidRDefault="003175F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175F0" w:rsidRDefault="003175F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1985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Входной контроль качества поставляемой продукции.</w:t>
            </w:r>
          </w:p>
        </w:tc>
        <w:tc>
          <w:tcPr>
            <w:tcW w:w="3003" w:type="dxa"/>
            <w:shd w:val="clear" w:color="auto" w:fill="auto"/>
          </w:tcPr>
          <w:p w:rsidR="003175F0" w:rsidRDefault="00824817">
            <w:pPr>
              <w:widowControl w:val="0"/>
              <w:tabs>
                <w:tab w:val="left" w:pos="432"/>
                <w:tab w:val="left" w:pos="459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входного контроля поставляемых товаров выполняется Поставщиком совместно с Заказчиком.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175F0" w:rsidRDefault="003175F0">
            <w:pPr>
              <w:widowControl w:val="0"/>
            </w:pPr>
          </w:p>
        </w:tc>
      </w:tr>
      <w:tr w:rsidR="003175F0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175F0" w:rsidRDefault="0082481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 xml:space="preserve">Погрузка, доставка, разгрузка и перемещение товаров (в том числе по территории Покупателя) осуществляется </w:t>
            </w:r>
            <w:r>
              <w:rPr>
                <w:rFonts w:eastAsia="Calibri"/>
                <w:sz w:val="22"/>
                <w:szCs w:val="22"/>
                <w:lang w:eastAsia="x-none"/>
              </w:rPr>
              <w:lastRenderedPageBreak/>
              <w:t>Поставщиком. Стоимость погрузки, доставки, разгрузки и перемещения товаров должна быть включена в стоимость Товара.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lastRenderedPageBreak/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</w:tcBorders>
            <w:shd w:val="clear" w:color="auto" w:fill="auto"/>
          </w:tcPr>
          <w:p w:rsidR="003175F0" w:rsidRDefault="003175F0">
            <w:pPr>
              <w:widowControl w:val="0"/>
            </w:pP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3175F0" w:rsidRDefault="00824817">
            <w:pPr>
              <w:widowControl w:val="0"/>
              <w:spacing w:before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  <w:p w:rsidR="003175F0" w:rsidRDefault="003175F0">
            <w:pPr>
              <w:widowControl w:val="0"/>
              <w:spacing w:before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3175F0" w:rsidRDefault="00824817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3175F0" w:rsidRDefault="00824817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сроку гарантии на поставляемые МТР</w:t>
            </w:r>
          </w:p>
        </w:tc>
        <w:tc>
          <w:tcPr>
            <w:tcW w:w="3003" w:type="dxa"/>
            <w:shd w:val="clear" w:color="auto" w:fill="auto"/>
          </w:tcPr>
          <w:p w:rsidR="003175F0" w:rsidRDefault="00824817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гарантии на поставляемые товары должен быть не менее 12 месяцев  с даты подписания универсального передаточного акта.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3175F0" w:rsidRDefault="003175F0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175F0" w:rsidRDefault="003175F0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гарантийному обслуживанию</w:t>
            </w:r>
          </w:p>
        </w:tc>
        <w:tc>
          <w:tcPr>
            <w:tcW w:w="30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гарантийному обслуживанию:</w:t>
            </w:r>
          </w:p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обязанности поставщика входит гарантийное обслуживание поставляемых  продукции на протяжении всего гарантийного срока;</w:t>
            </w:r>
          </w:p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эксплуатация поставляемых товаров осуществляется силами персонала заказчика.</w:t>
            </w:r>
          </w:p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товаров (в случае, если причина дефекта не связана с неправильной эксплуатацией данной продукции.);</w:t>
            </w:r>
          </w:p>
          <w:p w:rsidR="003175F0" w:rsidRDefault="00824817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гарантийный срок увеличивается на время устранения дефекта или </w:t>
            </w:r>
            <w:r>
              <w:rPr>
                <w:sz w:val="22"/>
                <w:szCs w:val="22"/>
              </w:rPr>
              <w:lastRenderedPageBreak/>
              <w:t>замены товара, возникшего в период гарантийного обслуживания;</w:t>
            </w:r>
          </w:p>
          <w:p w:rsidR="003175F0" w:rsidRDefault="00824817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товара производится поставщиком по адресу, указанному Заказчиком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</w:rPr>
            </w:pPr>
            <w:bookmarkStart w:id="48" w:name="__RefHeading___Toc933_40715321"/>
            <w:bookmarkStart w:id="49" w:name="_Toc126936407"/>
            <w:bookmarkEnd w:id="48"/>
            <w:bookmarkEnd w:id="49"/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lastRenderedPageBreak/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175F0" w:rsidRDefault="003175F0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:rsidR="003175F0" w:rsidRDefault="00824817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товаром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0" w:type="dxa"/>
            <w:shd w:val="clear" w:color="auto" w:fill="auto"/>
          </w:tcPr>
          <w:p w:rsidR="003175F0" w:rsidRDefault="008248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75F0">
        <w:tc>
          <w:tcPr>
            <w:tcW w:w="851" w:type="dxa"/>
            <w:shd w:val="clear" w:color="auto" w:fill="auto"/>
            <w:vAlign w:val="center"/>
          </w:tcPr>
          <w:p w:rsidR="003175F0" w:rsidRDefault="003175F0">
            <w:pPr>
              <w:pStyle w:val="afff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Документы, передаваемые вместе с товаром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175F0" w:rsidRDefault="00824817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 обязан одновременно с передачей товаров передать Заказчику относящиеся к нему документы, оформленные надлежащим образом:</w:t>
            </w:r>
          </w:p>
          <w:p w:rsidR="003175F0" w:rsidRDefault="00824817">
            <w:pPr>
              <w:widowControl w:val="0"/>
              <w:tabs>
                <w:tab w:val="left" w:pos="225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сертификаты качества;</w:t>
            </w:r>
          </w:p>
          <w:p w:rsidR="003175F0" w:rsidRDefault="00824817">
            <w:pPr>
              <w:widowControl w:val="0"/>
              <w:numPr>
                <w:ilvl w:val="0"/>
                <w:numId w:val="4"/>
              </w:numPr>
              <w:ind w:left="227" w:hanging="17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технические паспорта;</w:t>
            </w:r>
          </w:p>
          <w:p w:rsidR="003175F0" w:rsidRDefault="00824817">
            <w:pPr>
              <w:widowControl w:val="0"/>
              <w:numPr>
                <w:ilvl w:val="0"/>
                <w:numId w:val="4"/>
              </w:numPr>
              <w:ind w:left="227" w:hanging="17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руководства по эксплу-атации;</w:t>
            </w:r>
          </w:p>
          <w:p w:rsidR="003175F0" w:rsidRDefault="00824817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протоколы заводских испытаний (при их наличии);</w:t>
            </w:r>
          </w:p>
          <w:p w:rsidR="003175F0" w:rsidRDefault="00824817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упаковочные листы, упаковочные ярлыки;</w:t>
            </w:r>
          </w:p>
          <w:p w:rsidR="003175F0" w:rsidRDefault="00824817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товарно-транспортную накладную формы №1-Т;</w:t>
            </w:r>
          </w:p>
          <w:p w:rsidR="003175F0" w:rsidRDefault="00824817">
            <w:pPr>
              <w:widowControl w:val="0"/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товарную накладную унифицированной формы.</w:t>
            </w:r>
          </w:p>
        </w:tc>
        <w:tc>
          <w:tcPr>
            <w:tcW w:w="2803" w:type="dxa"/>
            <w:shd w:val="clear" w:color="auto" w:fill="auto"/>
          </w:tcPr>
          <w:p w:rsidR="003175F0" w:rsidRDefault="008248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175F0" w:rsidRDefault="003175F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175F0" w:rsidRDefault="003175F0">
      <w:pPr>
        <w:sectPr w:rsidR="003175F0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175F0" w:rsidRDefault="00824817">
      <w:pPr>
        <w:pStyle w:val="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50" w:name="__RefHeading___Toc935_40715321"/>
      <w:bookmarkStart w:id="51" w:name="_Toc53393312"/>
      <w:bookmarkStart w:id="52" w:name="_Toc75446583"/>
      <w:bookmarkEnd w:id="50"/>
      <w:r>
        <w:rPr>
          <w:lang w:val="ru-RU"/>
        </w:rPr>
        <w:lastRenderedPageBreak/>
        <w:t>Требования к документации по ценообразованию</w:t>
      </w:r>
      <w:bookmarkEnd w:id="51"/>
      <w:bookmarkEnd w:id="52"/>
      <w:r>
        <w:rPr>
          <w:lang w:val="ru-RU"/>
        </w:rPr>
        <w:t xml:space="preserve"> на этапе закупки</w:t>
      </w:r>
    </w:p>
    <w:p w:rsidR="003175F0" w:rsidRDefault="00824817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</w:t>
      </w:r>
      <w:r w:rsidRPr="00824817">
        <w:rPr>
          <w:rFonts w:eastAsia="Calibri"/>
          <w:sz w:val="24"/>
          <w:szCs w:val="24"/>
          <w:lang w:eastAsia="x-none"/>
        </w:rPr>
        <w:t>Коммерческое предложение по форме согласно Приложению № 1 к настоящим ТТ (в двух вариантах – в pdf и Excel)</w:t>
      </w:r>
      <w:r>
        <w:rPr>
          <w:rFonts w:eastAsia="Calibri"/>
          <w:sz w:val="24"/>
          <w:szCs w:val="24"/>
          <w:lang w:eastAsia="x-none"/>
        </w:rPr>
        <w:t>.</w:t>
      </w:r>
    </w:p>
    <w:p w:rsidR="003175F0" w:rsidRDefault="00824817">
      <w:pPr>
        <w:keepLines/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iCs/>
          <w:sz w:val="24"/>
          <w:szCs w:val="24"/>
          <w:lang w:val="x-none"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 xml:space="preserve">3.2. </w:t>
      </w:r>
      <w:r>
        <w:rPr>
          <w:rFonts w:eastAsia="Calibri"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включается</w:t>
      </w:r>
      <w:r>
        <w:rPr>
          <w:rFonts w:eastAsia="Calibri"/>
          <w:iCs/>
          <w:sz w:val="24"/>
          <w:szCs w:val="24"/>
          <w:lang w:val="x-none" w:eastAsia="x-none"/>
        </w:rPr>
        <w:t>.</w:t>
      </w:r>
    </w:p>
    <w:p w:rsidR="003175F0" w:rsidRDefault="003175F0">
      <w:pPr>
        <w:rPr>
          <w:rFonts w:eastAsia="Calibri"/>
          <w:b/>
          <w:iCs/>
          <w:lang w:val="x-none" w:eastAsia="x-none"/>
        </w:rPr>
      </w:pPr>
    </w:p>
    <w:sectPr w:rsidR="003175F0"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8F" w:rsidRDefault="00824817">
      <w:r>
        <w:separator/>
      </w:r>
    </w:p>
  </w:endnote>
  <w:endnote w:type="continuationSeparator" w:id="0">
    <w:p w:rsidR="00D3068F" w:rsidRDefault="0082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8F" w:rsidRDefault="00824817">
      <w:r>
        <w:separator/>
      </w:r>
    </w:p>
  </w:footnote>
  <w:footnote w:type="continuationSeparator" w:id="0">
    <w:p w:rsidR="00D3068F" w:rsidRDefault="0082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F0" w:rsidRDefault="00824817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6202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F0" w:rsidRDefault="003175F0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F0" w:rsidRDefault="00824817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62029">
      <w:rPr>
        <w:noProof/>
      </w:rPr>
      <w:t>10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F0" w:rsidRDefault="00824817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62029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F0" w:rsidRDefault="00824817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F0" w:rsidRDefault="00824817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62029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823D1"/>
    <w:multiLevelType w:val="multilevel"/>
    <w:tmpl w:val="883603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BFA77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6E493E8E"/>
    <w:multiLevelType w:val="multilevel"/>
    <w:tmpl w:val="35569D5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E4E7377"/>
    <w:multiLevelType w:val="multilevel"/>
    <w:tmpl w:val="E982C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5CE3EDF"/>
    <w:multiLevelType w:val="multilevel"/>
    <w:tmpl w:val="85F0C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5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5F0"/>
    <w:rsid w:val="003175F0"/>
    <w:rsid w:val="00362029"/>
    <w:rsid w:val="00824817"/>
    <w:rsid w:val="00D3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6684"/>
  <w15:docId w15:val="{55F0BF0B-D642-42E3-9C78-48D88714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1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1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0">
    <w:name w:val="Гиперссылка1"/>
    <w:uiPriority w:val="99"/>
    <w:qFormat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Заголовок 1 Знак1"/>
    <w:link w:val="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link w:val="3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3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styleId="afe">
    <w:name w:val="Hyperlink"/>
    <w:rPr>
      <w:color w:val="000080"/>
      <w:u w:val="single"/>
    </w:rPr>
  </w:style>
  <w:style w:type="paragraph" w:styleId="aff">
    <w:name w:val="Title"/>
    <w:basedOn w:val="a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0">
    <w:name w:val="Body Text"/>
    <w:basedOn w:val="a"/>
    <w:rsid w:val="0076353A"/>
    <w:pPr>
      <w:spacing w:after="120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3">
    <w:name w:val="index heading"/>
    <w:basedOn w:val="aff"/>
  </w:style>
  <w:style w:type="paragraph" w:customStyle="1" w:styleId="15">
    <w:name w:val="Заголовок1"/>
    <w:basedOn w:val="a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5"/>
    <w:qFormat/>
  </w:style>
  <w:style w:type="paragraph" w:customStyle="1" w:styleId="caption11">
    <w:name w:val="caption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15"/>
    <w:qFormat/>
  </w:style>
  <w:style w:type="paragraph" w:customStyle="1" w:styleId="aff4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5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7">
    <w:name w:val="footnote text"/>
    <w:basedOn w:val="a"/>
  </w:style>
  <w:style w:type="paragraph" w:customStyle="1" w:styleId="16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7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8">
    <w:name w:val="Колонтитул"/>
    <w:basedOn w:val="a"/>
    <w:qFormat/>
  </w:style>
  <w:style w:type="paragraph" w:styleId="aff9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a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b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c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d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6">
    <w:name w:val="Пункт2"/>
    <w:basedOn w:val="a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1"/>
    <w:autoRedefine/>
    <w:uiPriority w:val="39"/>
    <w:rsid w:val="00421B6B"/>
    <w:pPr>
      <w:tabs>
        <w:tab w:val="clear" w:pos="0"/>
      </w:tabs>
      <w:spacing w:after="0"/>
      <w:ind w:left="0" w:firstLine="0"/>
    </w:pPr>
    <w:rPr>
      <w:rFonts w:cs="Calibri Light (Заголовки)"/>
      <w:bCs/>
      <w:sz w:val="24"/>
      <w:szCs w:val="24"/>
    </w:rPr>
  </w:style>
  <w:style w:type="paragraph" w:styleId="33">
    <w:name w:val="toc 3"/>
    <w:basedOn w:val="a"/>
    <w:link w:val="32"/>
    <w:autoRedefine/>
    <w:uiPriority w:val="39"/>
    <w:rsid w:val="00C01756"/>
    <w:pPr>
      <w:ind w:left="280"/>
    </w:pPr>
    <w:rPr>
      <w:rFonts w:cstheme="minorHAnsi"/>
      <w:b/>
      <w:sz w:val="24"/>
      <w:szCs w:val="20"/>
    </w:rPr>
  </w:style>
  <w:style w:type="paragraph" w:customStyle="1" w:styleId="affe">
    <w:name w:val="Раздел регламента"/>
    <w:basedOn w:val="a"/>
    <w:qFormat/>
    <w:rsid w:val="00E228FA"/>
  </w:style>
  <w:style w:type="paragraph" w:customStyle="1" w:styleId="afff">
    <w:name w:val="Приложение к регламенту"/>
    <w:basedOn w:val="a"/>
    <w:qFormat/>
    <w:rsid w:val="00E228FA"/>
    <w:pPr>
      <w:jc w:val="right"/>
    </w:pPr>
  </w:style>
  <w:style w:type="paragraph" w:styleId="27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4"/>
      <w:szCs w:val="20"/>
    </w:rPr>
  </w:style>
  <w:style w:type="paragraph" w:styleId="afff0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1">
    <w:name w:val="annotation text"/>
    <w:basedOn w:val="a"/>
    <w:semiHidden/>
    <w:qFormat/>
    <w:rsid w:val="00B714B0"/>
    <w:rPr>
      <w:sz w:val="20"/>
      <w:szCs w:val="20"/>
    </w:rPr>
  </w:style>
  <w:style w:type="paragraph" w:styleId="afff2">
    <w:name w:val="annotation subject"/>
    <w:basedOn w:val="afff1"/>
    <w:semiHidden/>
    <w:qFormat/>
    <w:rsid w:val="00B714B0"/>
    <w:rPr>
      <w:b/>
      <w:bCs/>
    </w:rPr>
  </w:style>
  <w:style w:type="paragraph" w:customStyle="1" w:styleId="19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8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3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4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5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6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7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9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"/>
    <w:link w:val="22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fd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0">
    <w:name w:val="УРОВЕНЬ_(а)"/>
    <w:basedOn w:val="afff6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6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1">
    <w:name w:val="УРОВЕНЬ_Подпись"/>
    <w:basedOn w:val="afff6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2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c">
    <w:name w:val="УРОВЕНЬ_1."/>
    <w:basedOn w:val="afff6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таблицы"/>
    <w:basedOn w:val="a"/>
    <w:qFormat/>
  </w:style>
  <w:style w:type="paragraph" w:customStyle="1" w:styleId="affff6">
    <w:name w:val="Заголовок таблицы"/>
    <w:basedOn w:val="affff5"/>
    <w:qFormat/>
  </w:style>
  <w:style w:type="paragraph" w:customStyle="1" w:styleId="affff7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8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6347-ADC7-41B1-87EA-FEC2DF17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1705</Words>
  <Characters>9722</Characters>
  <Application>Microsoft Office Word</Application>
  <DocSecurity>0</DocSecurity>
  <Lines>81</Lines>
  <Paragraphs>22</Paragraphs>
  <ScaleCrop>false</ScaleCrop>
  <Company>Microsoft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42</cp:revision>
  <cp:lastPrinted>2026-05-14T16:22:00Z</cp:lastPrinted>
  <dcterms:created xsi:type="dcterms:W3CDTF">2023-03-30T07:16:00Z</dcterms:created>
  <dcterms:modified xsi:type="dcterms:W3CDTF">2026-05-22T11:06:00Z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