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C7" w:rsidRDefault="006932C7">
      <w:pPr>
        <w:rPr>
          <w:b/>
        </w:rPr>
      </w:pPr>
      <w:bookmarkStart w:id="0" w:name="_GoBack"/>
      <w:bookmarkEnd w:id="0"/>
    </w:p>
    <w:p w:rsidR="006932C7" w:rsidRDefault="006932C7">
      <w:pPr>
        <w:pStyle w:val="2"/>
        <w:spacing w:before="0" w:after="0"/>
        <w:jc w:val="center"/>
        <w:rPr>
          <w:rFonts w:ascii="Times New Roman" w:hAnsi="Times New Roman"/>
          <w:i w:val="0"/>
          <w:sz w:val="24"/>
        </w:rPr>
      </w:pPr>
    </w:p>
    <w:p w:rsidR="006932C7" w:rsidRDefault="00E079CE">
      <w:pPr>
        <w:jc w:val="center"/>
        <w:rPr>
          <w:b/>
        </w:rPr>
      </w:pPr>
      <w:r>
        <w:rPr>
          <w:b/>
        </w:rPr>
        <w:t>Техническое задание</w:t>
      </w:r>
    </w:p>
    <w:p w:rsidR="006932C7" w:rsidRDefault="006932C7"/>
    <w:p w:rsidR="006932C7" w:rsidRDefault="00E079CE">
      <w:pPr>
        <w:jc w:val="center"/>
      </w:pPr>
      <w:r>
        <w:t>Строительство ЛЭП-10 кВ, ТП-10/0,4 кВ для присоединения объекта дорожного хозяйства (светофорные объекты, объекты видеофиксации, пункт весогабаритного контроля)»,</w:t>
      </w:r>
    </w:p>
    <w:p w:rsidR="006932C7" w:rsidRDefault="00E079CE">
      <w:pPr>
        <w:jc w:val="center"/>
      </w:pPr>
      <w:r>
        <w:t>расположенный по адресу: 04 ОП РЗ 04К-029 «САЯНЫ» (КНЗУ 24:25:2401005:23)</w:t>
      </w:r>
    </w:p>
    <w:p w:rsidR="006932C7" w:rsidRDefault="006932C7">
      <w:pPr>
        <w:jc w:val="center"/>
      </w:pPr>
    </w:p>
    <w:p w:rsidR="006932C7" w:rsidRPr="00180AD4" w:rsidRDefault="00E079CE">
      <w:pPr>
        <w:pStyle w:val="a8"/>
        <w:numPr>
          <w:ilvl w:val="0"/>
          <w:numId w:val="1"/>
        </w:numPr>
        <w:tabs>
          <w:tab w:val="left" w:pos="567"/>
        </w:tabs>
        <w:ind w:left="0" w:hanging="76"/>
        <w:jc w:val="both"/>
      </w:pPr>
      <w:r w:rsidRPr="00180AD4">
        <w:rPr>
          <w:b/>
        </w:rPr>
        <w:t>Наименование объекта:</w:t>
      </w:r>
      <w:r w:rsidRPr="00180AD4">
        <w:t xml:space="preserve"> ЛЭП-10 кВ отпайка от опоры № 123 ЛЭП 10 кВ Ф 2-24. </w:t>
      </w:r>
    </w:p>
    <w:p w:rsidR="006932C7" w:rsidRPr="00E079CE" w:rsidRDefault="00E079CE">
      <w:pPr>
        <w:pStyle w:val="a8"/>
        <w:numPr>
          <w:ilvl w:val="0"/>
          <w:numId w:val="1"/>
        </w:numPr>
        <w:tabs>
          <w:tab w:val="left" w:pos="567"/>
        </w:tabs>
        <w:ind w:left="0" w:hanging="76"/>
        <w:jc w:val="both"/>
      </w:pPr>
      <w:r w:rsidRPr="00E079CE">
        <w:t>Этапы реализации:</w:t>
      </w:r>
    </w:p>
    <w:p w:rsidR="006932C7" w:rsidRPr="00E079CE" w:rsidRDefault="00E079CE">
      <w:pPr>
        <w:pStyle w:val="a8"/>
        <w:tabs>
          <w:tab w:val="left" w:pos="567"/>
        </w:tabs>
        <w:ind w:left="0"/>
        <w:jc w:val="both"/>
      </w:pPr>
      <w:r w:rsidRPr="00E079CE">
        <w:t>2.1. Разработка рабочей документации</w:t>
      </w:r>
    </w:p>
    <w:p w:rsidR="006932C7" w:rsidRPr="00E079CE" w:rsidRDefault="00E079CE">
      <w:pPr>
        <w:pStyle w:val="a8"/>
        <w:tabs>
          <w:tab w:val="left" w:pos="567"/>
        </w:tabs>
        <w:ind w:left="0"/>
        <w:jc w:val="both"/>
      </w:pPr>
      <w:r w:rsidRPr="00E079CE">
        <w:t>2.2. Строительство ЭП-10 кВ, ТП-10/0,4 кВ для присоединения объекта дорожного хозяйства (светофорные объекты, объекты видеофиксации, пункт весогабаритного контроля)», расположенный по адресу: 04 ОП РЗ 04К-029 «САЯНЫ»</w:t>
      </w:r>
    </w:p>
    <w:p w:rsidR="006932C7" w:rsidRPr="00E079CE" w:rsidRDefault="00E079CE">
      <w:pPr>
        <w:pStyle w:val="a8"/>
        <w:tabs>
          <w:tab w:val="left" w:pos="567"/>
        </w:tabs>
        <w:ind w:left="0"/>
        <w:jc w:val="both"/>
      </w:pPr>
      <w:r w:rsidRPr="00E079CE">
        <w:t>2.3. Разработка исполнительной документации</w:t>
      </w:r>
    </w:p>
    <w:p w:rsidR="006932C7" w:rsidRPr="00180AD4" w:rsidRDefault="00E079CE">
      <w:pPr>
        <w:pStyle w:val="a8"/>
        <w:numPr>
          <w:ilvl w:val="0"/>
          <w:numId w:val="1"/>
        </w:numPr>
        <w:tabs>
          <w:tab w:val="left" w:pos="567"/>
        </w:tabs>
        <w:ind w:left="0" w:firstLine="0"/>
        <w:jc w:val="both"/>
      </w:pPr>
      <w:r w:rsidRPr="00E079CE">
        <w:t>Основание для разработки рабочей документации:</w:t>
      </w:r>
    </w:p>
    <w:p w:rsidR="006932C7" w:rsidRPr="00180AD4" w:rsidRDefault="00E079CE">
      <w:pPr>
        <w:pStyle w:val="a8"/>
        <w:numPr>
          <w:ilvl w:val="1"/>
          <w:numId w:val="1"/>
        </w:numPr>
        <w:tabs>
          <w:tab w:val="left" w:pos="0"/>
        </w:tabs>
        <w:ind w:left="0" w:firstLine="0"/>
        <w:jc w:val="both"/>
      </w:pPr>
      <w:r w:rsidRPr="00180AD4">
        <w:t xml:space="preserve">Техническое задание Заказчика. </w:t>
      </w:r>
    </w:p>
    <w:p w:rsidR="006932C7" w:rsidRPr="00180AD4" w:rsidRDefault="00E079CE">
      <w:pPr>
        <w:pStyle w:val="HTML0"/>
        <w:rPr>
          <w:rFonts w:ascii="Times New Roman" w:hAnsi="Times New Roman"/>
          <w:sz w:val="24"/>
        </w:rPr>
      </w:pPr>
      <w:r w:rsidRPr="00180AD4">
        <w:rPr>
          <w:rFonts w:ascii="Times New Roman" w:hAnsi="Times New Roman"/>
          <w:sz w:val="24"/>
        </w:rPr>
        <w:t>Заявитель: Публичное акционерное общество «Ростелеком» Красноярский филиал;</w:t>
      </w:r>
    </w:p>
    <w:p w:rsidR="006932C7" w:rsidRPr="00180AD4" w:rsidRDefault="00E079CE">
      <w:pPr>
        <w:pStyle w:val="a8"/>
        <w:tabs>
          <w:tab w:val="left" w:pos="0"/>
        </w:tabs>
        <w:ind w:left="0"/>
        <w:jc w:val="both"/>
      </w:pPr>
      <w:r w:rsidRPr="00180AD4">
        <w:t xml:space="preserve">Местонахождение присоединяемых ЭУ: «Объекты дорожного хозяйства (светофорные объекты, объекты видеофиксациипункт, весогабаритного контроля)», расположенный по адресу: 04 ОП РЗ 04К-029 «САЯНЫ» (КНЗУ 24:25:2401005:23) </w:t>
      </w:r>
      <w:r w:rsidRPr="00E079CE">
        <w:t>км 0 — км 8;</w:t>
      </w:r>
    </w:p>
    <w:p w:rsidR="006932C7" w:rsidRPr="00180AD4" w:rsidRDefault="00E079CE">
      <w:pPr>
        <w:pStyle w:val="a8"/>
        <w:tabs>
          <w:tab w:val="left" w:pos="0"/>
        </w:tabs>
        <w:ind w:left="0"/>
        <w:jc w:val="both"/>
      </w:pPr>
      <w:r w:rsidRPr="00180AD4">
        <w:t>Максимальная мощность по рассматриваемой схеме присоединения: 15 кВт;</w:t>
      </w:r>
    </w:p>
    <w:p w:rsidR="006932C7" w:rsidRPr="00180AD4" w:rsidRDefault="00E079CE">
      <w:pPr>
        <w:pStyle w:val="a8"/>
        <w:tabs>
          <w:tab w:val="left" w:pos="0"/>
        </w:tabs>
        <w:ind w:left="0"/>
        <w:jc w:val="both"/>
      </w:pPr>
      <w:r w:rsidRPr="00180AD4">
        <w:t>Класс напряжения: 10 кВ;</w:t>
      </w:r>
    </w:p>
    <w:p w:rsidR="006932C7" w:rsidRPr="00180AD4" w:rsidRDefault="00E079CE">
      <w:pPr>
        <w:pStyle w:val="a8"/>
        <w:tabs>
          <w:tab w:val="left" w:pos="0"/>
        </w:tabs>
        <w:ind w:left="0"/>
        <w:jc w:val="both"/>
      </w:pPr>
      <w:r w:rsidRPr="00180AD4">
        <w:t>Категория надежности по электроснабжению: III.</w:t>
      </w:r>
    </w:p>
    <w:p w:rsidR="006932C7" w:rsidRPr="00180AD4" w:rsidRDefault="006932C7">
      <w:pPr>
        <w:tabs>
          <w:tab w:val="left" w:pos="567"/>
        </w:tabs>
        <w:jc w:val="both"/>
      </w:pPr>
    </w:p>
    <w:p w:rsidR="006932C7" w:rsidRPr="00180AD4" w:rsidRDefault="00E079CE">
      <w:pPr>
        <w:pStyle w:val="a8"/>
        <w:numPr>
          <w:ilvl w:val="0"/>
          <w:numId w:val="1"/>
        </w:numPr>
        <w:tabs>
          <w:tab w:val="left" w:pos="0"/>
        </w:tabs>
        <w:ind w:hanging="76"/>
        <w:jc w:val="both"/>
      </w:pPr>
      <w:r w:rsidRPr="00180AD4">
        <w:rPr>
          <w:b/>
        </w:rPr>
        <w:t>Стадийность разработки рабочей документации:</w:t>
      </w:r>
    </w:p>
    <w:p w:rsidR="006932C7" w:rsidRPr="00180AD4" w:rsidRDefault="00E079CE">
      <w:pPr>
        <w:pStyle w:val="a8"/>
        <w:numPr>
          <w:ilvl w:val="1"/>
          <w:numId w:val="1"/>
        </w:numPr>
        <w:tabs>
          <w:tab w:val="left" w:pos="567"/>
        </w:tabs>
        <w:ind w:hanging="76"/>
        <w:jc w:val="both"/>
      </w:pPr>
      <w:r w:rsidRPr="00180AD4">
        <w:t>Обследование, необходимое для разработки рабочей документации, анализ исходных данных/информации и основных технических решений, в т.ч. материалов выбора площадки под размещение ТП-10/0,4 кВ, трассы проектируемой ЛЭП-10 кВ;</w:t>
      </w:r>
    </w:p>
    <w:p w:rsidR="006932C7" w:rsidRPr="00180AD4" w:rsidRDefault="00E079CE">
      <w:pPr>
        <w:pStyle w:val="a8"/>
        <w:tabs>
          <w:tab w:val="left" w:pos="567"/>
        </w:tabs>
        <w:ind w:left="76"/>
        <w:jc w:val="both"/>
      </w:pPr>
      <w:r w:rsidRPr="00180AD4">
        <w:t>3.2. Создание инженерно-топографических планов с нанесением существующих наземных, надземных и подземных коммуникаций, с привязкой объекта строительства на местности (подготовка топосъёмок) с указанием границ земельных участков заявителя, границ земельных участков, попадающих в зону проектируемого объекта, и кадастровых номеров указанных земельных участков (заключение договорных отношений с МУП и оплатой за данные виды работ со стороны ПАО «Ростелеком);</w:t>
      </w:r>
    </w:p>
    <w:p w:rsidR="006932C7" w:rsidRPr="00180AD4" w:rsidRDefault="00E079CE">
      <w:pPr>
        <w:tabs>
          <w:tab w:val="left" w:pos="426"/>
        </w:tabs>
        <w:jc w:val="both"/>
      </w:pPr>
      <w:r w:rsidRPr="00180AD4">
        <w:t xml:space="preserve">3.3. Разработать и выполнить мероприятия по согласованию трассы прохождения/размещения объекта (ЛЭП 10 кВ) с собственником земельного участка, выделяемого под размещение линейного объекта, собственниками смежных земельных участков (при их наличии и необходимости), при необходимости с собственником автомобильной дороги 04 ОП РЗ 04К-029 «САЯНЫ». </w:t>
      </w:r>
    </w:p>
    <w:p w:rsidR="006932C7" w:rsidRPr="00180AD4" w:rsidRDefault="00E079CE">
      <w:pPr>
        <w:tabs>
          <w:tab w:val="left" w:pos="142"/>
        </w:tabs>
        <w:jc w:val="both"/>
      </w:pPr>
      <w:r w:rsidRPr="00180AD4">
        <w:t>3.4. Разработка и согласование с филиалом ПАО "Россети Сибирь"-"Красноярскэнерго" и при необходимости с иными собственниками объектов, связанных с размещением объекта, указанного в рабочей документации, основных технических решений, в том числе:</w:t>
      </w:r>
    </w:p>
    <w:p w:rsidR="006932C7" w:rsidRPr="00180AD4" w:rsidRDefault="00E079CE">
      <w:pPr>
        <w:pStyle w:val="a8"/>
        <w:numPr>
          <w:ilvl w:val="2"/>
          <w:numId w:val="2"/>
        </w:numPr>
        <w:tabs>
          <w:tab w:val="left" w:pos="142"/>
        </w:tabs>
        <w:ind w:left="0" w:firstLine="0"/>
        <w:jc w:val="both"/>
      </w:pPr>
      <w:r w:rsidRPr="00180AD4">
        <w:t>Выбор трассы ЛЭП, с указанием ее плана, и профиля пересечений (в соответствии с НТД и действующим законодательством РФ). Оформление схем размещения на кадастровом плане территории и в соответствующей системе координат и необходимом объеме / формате, предусмотренном действующим законодательством. Размещение на топографической основе с нанесением границ правообладателей земельных участков;</w:t>
      </w:r>
    </w:p>
    <w:p w:rsidR="006932C7" w:rsidRPr="00180AD4" w:rsidRDefault="00E079CE">
      <w:pPr>
        <w:pStyle w:val="a8"/>
        <w:numPr>
          <w:ilvl w:val="2"/>
          <w:numId w:val="2"/>
        </w:numPr>
        <w:tabs>
          <w:tab w:val="left" w:pos="142"/>
          <w:tab w:val="left" w:pos="567"/>
        </w:tabs>
        <w:ind w:left="0" w:firstLine="0"/>
        <w:jc w:val="both"/>
      </w:pPr>
      <w:r w:rsidRPr="00180AD4">
        <w:t xml:space="preserve">Компоновку и план размещения проектируемой ТП 10/0,4 кВ; согласование места установки ТП на топографической основе с нанесением границ правообладателей земельных участков; </w:t>
      </w:r>
    </w:p>
    <w:p w:rsidR="006932C7" w:rsidRPr="00180AD4" w:rsidRDefault="00E079CE">
      <w:pPr>
        <w:pStyle w:val="a8"/>
        <w:tabs>
          <w:tab w:val="left" w:pos="142"/>
          <w:tab w:val="left" w:pos="567"/>
        </w:tabs>
        <w:ind w:left="0"/>
        <w:jc w:val="both"/>
      </w:pPr>
      <w:r w:rsidRPr="00180AD4">
        <w:t>3.4.3. Разработка и согласование рабочей документации с Заказчиком и всеми иными заинтересованными лицами;</w:t>
      </w:r>
    </w:p>
    <w:p w:rsidR="006932C7" w:rsidRPr="00180AD4" w:rsidRDefault="00E079CE">
      <w:pPr>
        <w:tabs>
          <w:tab w:val="left" w:pos="567"/>
        </w:tabs>
        <w:jc w:val="both"/>
      </w:pPr>
      <w:r w:rsidRPr="00180AD4">
        <w:t>3.5. Получение необходимых разрешений в соответствии с действующими правилами и НТД в т.ч. утвержденными местными нормативно-правовыми актами.</w:t>
      </w:r>
    </w:p>
    <w:p w:rsidR="006932C7" w:rsidRPr="00180AD4" w:rsidRDefault="00E079CE">
      <w:pPr>
        <w:tabs>
          <w:tab w:val="left" w:pos="567"/>
        </w:tabs>
        <w:jc w:val="both"/>
      </w:pPr>
      <w:r w:rsidRPr="00180AD4">
        <w:lastRenderedPageBreak/>
        <w:t>3.6. Разработка и оформление рабочей документации необходимо выполнить в соответствии с требованиями НТД, позволяющей выполнить строительно-монтажные работы на объекте, а также при необходимости для согласования и оформления необходимых разрешительных документов для организации строительства.</w:t>
      </w:r>
    </w:p>
    <w:p w:rsidR="006932C7" w:rsidRPr="00180AD4" w:rsidRDefault="00E079CE">
      <w:pPr>
        <w:tabs>
          <w:tab w:val="left" w:pos="567"/>
        </w:tabs>
        <w:jc w:val="both"/>
      </w:pPr>
      <w:r w:rsidRPr="00180AD4">
        <w:t>3.6.1.</w:t>
      </w:r>
      <w:r w:rsidRPr="00180AD4">
        <w:tab/>
        <w:t>В рабочей документации предусмотреть и выполнить необходимые рабочие чертежи и схемы (графические материалы, в т.ч. профили пересечений и проколов), полный пакет документов достаточный для проверки и выполнения строительно-монтажных работ, результаты расчётов по выбору сечения и типа кабелей/проводов, проектируемых ЛЭП (расчёт режимов сети, расчет токов КЗ, расчёт на термическую стойкость ЛЭП), расчеты по выбору оборудования и устройств ТП.</w:t>
      </w:r>
    </w:p>
    <w:p w:rsidR="006932C7" w:rsidRPr="00180AD4" w:rsidRDefault="00E079CE">
      <w:pPr>
        <w:tabs>
          <w:tab w:val="left" w:pos="567"/>
        </w:tabs>
        <w:jc w:val="both"/>
      </w:pPr>
      <w:r w:rsidRPr="00180AD4">
        <w:t>3.6.3. При разработке рабочей документации для линейных объектов, не требующих получения разрешения на строительство и/или не требующих прохождения экспертизы, предусмотреть следующий состав (текстовая и графическая части):</w:t>
      </w:r>
    </w:p>
    <w:p w:rsidR="006932C7" w:rsidRPr="00180AD4" w:rsidRDefault="00E079CE">
      <w:pPr>
        <w:pStyle w:val="a8"/>
        <w:numPr>
          <w:ilvl w:val="0"/>
          <w:numId w:val="3"/>
        </w:numPr>
        <w:tabs>
          <w:tab w:val="left" w:pos="567"/>
        </w:tabs>
        <w:ind w:left="709" w:hanging="567"/>
        <w:jc w:val="both"/>
      </w:pPr>
      <w:r w:rsidRPr="00180AD4">
        <w:t>Общие указания;</w:t>
      </w:r>
    </w:p>
    <w:p w:rsidR="006932C7" w:rsidRPr="00180AD4" w:rsidRDefault="00E079CE">
      <w:pPr>
        <w:pStyle w:val="a8"/>
        <w:numPr>
          <w:ilvl w:val="0"/>
          <w:numId w:val="3"/>
        </w:numPr>
        <w:tabs>
          <w:tab w:val="left" w:pos="567"/>
        </w:tabs>
        <w:ind w:left="709" w:hanging="567"/>
        <w:jc w:val="both"/>
      </w:pPr>
      <w:r w:rsidRPr="00180AD4">
        <w:t>План полосы отвода;</w:t>
      </w:r>
    </w:p>
    <w:p w:rsidR="006932C7" w:rsidRPr="00180AD4" w:rsidRDefault="00E079CE">
      <w:pPr>
        <w:pStyle w:val="a8"/>
        <w:numPr>
          <w:ilvl w:val="0"/>
          <w:numId w:val="3"/>
        </w:numPr>
        <w:tabs>
          <w:tab w:val="left" w:pos="567"/>
        </w:tabs>
        <w:ind w:left="567" w:hanging="425"/>
        <w:jc w:val="both"/>
      </w:pPr>
      <w:r w:rsidRPr="00180AD4">
        <w:t>Технологические и конструктивные решения, в т.ч. спецификации оборудования/материалов;</w:t>
      </w:r>
    </w:p>
    <w:p w:rsidR="006932C7" w:rsidRPr="00180AD4" w:rsidRDefault="00E079CE">
      <w:pPr>
        <w:pStyle w:val="a8"/>
        <w:numPr>
          <w:ilvl w:val="0"/>
          <w:numId w:val="3"/>
        </w:numPr>
        <w:tabs>
          <w:tab w:val="left" w:pos="567"/>
        </w:tabs>
        <w:ind w:left="709" w:hanging="567"/>
        <w:jc w:val="both"/>
      </w:pPr>
      <w:r w:rsidRPr="00180AD4">
        <w:t>Ведомость объемов работ и пусконаладочных работ;</w:t>
      </w:r>
    </w:p>
    <w:p w:rsidR="006932C7" w:rsidRPr="00180AD4" w:rsidRDefault="006932C7">
      <w:pPr>
        <w:widowControl w:val="0"/>
        <w:tabs>
          <w:tab w:val="left" w:pos="426"/>
        </w:tabs>
        <w:jc w:val="both"/>
      </w:pPr>
    </w:p>
    <w:p w:rsidR="006932C7" w:rsidRPr="00180AD4" w:rsidRDefault="00E079CE">
      <w:pPr>
        <w:pStyle w:val="a8"/>
        <w:numPr>
          <w:ilvl w:val="0"/>
          <w:numId w:val="2"/>
        </w:numPr>
        <w:tabs>
          <w:tab w:val="left" w:pos="567"/>
        </w:tabs>
        <w:ind w:left="0" w:firstLine="0"/>
        <w:jc w:val="both"/>
      </w:pPr>
      <w:r w:rsidRPr="00180AD4">
        <w:rPr>
          <w:b/>
        </w:rPr>
        <w:t>Требования к архитектурно-строительным, технологическим и конструктивным решениям:</w:t>
      </w:r>
    </w:p>
    <w:p w:rsidR="006932C7" w:rsidRPr="00180AD4" w:rsidRDefault="00E079CE">
      <w:pPr>
        <w:pStyle w:val="a8"/>
        <w:numPr>
          <w:ilvl w:val="1"/>
          <w:numId w:val="4"/>
        </w:numPr>
        <w:tabs>
          <w:tab w:val="left" w:pos="567"/>
        </w:tabs>
        <w:ind w:left="0" w:firstLine="0"/>
        <w:jc w:val="both"/>
      </w:pPr>
      <w:r w:rsidRPr="00180AD4">
        <w:t xml:space="preserve"> Предусмотреть установку однотрансформаторной подстанции 10/0,4 кВ (далее ТП-10/0,4 кВ) на напряжении 10 кВ, около границ земельного участка с кадастровым номером 24:25:2401005:23. Рекомендованный тип ТП-10/0,4 кВ – столбового типа, тупиковая, с воздушыми вводами и количеством присоединений по стороне 0,4 кВ  не менее 3-х, мощность трансформатора 25 кВА; </w:t>
      </w:r>
    </w:p>
    <w:p w:rsidR="006932C7" w:rsidRPr="00180AD4" w:rsidRDefault="00E079CE">
      <w:pPr>
        <w:pStyle w:val="a8"/>
        <w:numPr>
          <w:ilvl w:val="1"/>
          <w:numId w:val="4"/>
        </w:numPr>
        <w:tabs>
          <w:tab w:val="left" w:pos="567"/>
        </w:tabs>
        <w:ind w:left="0" w:firstLine="0"/>
        <w:jc w:val="both"/>
      </w:pPr>
      <w:r w:rsidRPr="00180AD4">
        <w:t xml:space="preserve">Электроснабжение проектируемой ТП-10/0,4 кВ выполнить отпаечной ЛЭП-10 кВ от ЛЭП 10 кВ (тип и расположение) определить рабочей документацией. Предусмотреть установку линейного разъединителя в начале проектируемой ЛЭП-10 кВ и перед ТП 10/0,4 кВ. </w:t>
      </w:r>
    </w:p>
    <w:p w:rsidR="006932C7" w:rsidRPr="00180AD4" w:rsidRDefault="00E079CE">
      <w:pPr>
        <w:pStyle w:val="a8"/>
        <w:numPr>
          <w:ilvl w:val="1"/>
          <w:numId w:val="4"/>
        </w:numPr>
        <w:tabs>
          <w:tab w:val="left" w:pos="567"/>
        </w:tabs>
        <w:ind w:left="0" w:firstLine="0"/>
        <w:jc w:val="both"/>
      </w:pPr>
      <w:r w:rsidRPr="00180AD4">
        <w:t xml:space="preserve">Используемые материалы при строительстве (изготовлении) ТП-10/0,4 кВ должны быть новыми и соответствовать СНИП, ГОСТ и иной НТД, регламентирующей строительство ЛЭП 10 кВ и ТП 10/0,4 кВ.  </w:t>
      </w:r>
    </w:p>
    <w:p w:rsidR="006932C7" w:rsidRPr="00180AD4" w:rsidRDefault="00E079CE">
      <w:pPr>
        <w:pStyle w:val="a8"/>
        <w:numPr>
          <w:ilvl w:val="1"/>
          <w:numId w:val="4"/>
        </w:numPr>
        <w:tabs>
          <w:tab w:val="left" w:pos="567"/>
        </w:tabs>
        <w:ind w:left="0" w:firstLine="0"/>
        <w:jc w:val="both"/>
      </w:pPr>
      <w:r w:rsidRPr="00180AD4">
        <w:t xml:space="preserve"> В качестве защитно-коммутационных аппаратов предусмотреть автоматические выключатели по количеству присоединений, уставки определить и обосновать рабочей документацией;</w:t>
      </w:r>
    </w:p>
    <w:p w:rsidR="006932C7" w:rsidRPr="00180AD4" w:rsidRDefault="00E079CE">
      <w:pPr>
        <w:pStyle w:val="a8"/>
        <w:numPr>
          <w:ilvl w:val="1"/>
          <w:numId w:val="4"/>
        </w:numPr>
        <w:tabs>
          <w:tab w:val="left" w:pos="567"/>
        </w:tabs>
        <w:ind w:left="0" w:firstLine="0"/>
        <w:jc w:val="both"/>
      </w:pPr>
      <w:r w:rsidRPr="00180AD4">
        <w:t>При расчете воздушных линий и их элементов в соответствии с требованиями ПУЭ должны учитываться климатические условия - ветровое давление, толщина стенки гололеда, температура воздуха, степень агрессивного воздействия окружающей среды, интенсивность грозовой деятельности, пляска проводов и тросов, вибрация, а также показатель, учитывающий влияние загрязненности атмосферы на снижение электрической прочности изоляции электроустановок.</w:t>
      </w:r>
    </w:p>
    <w:p w:rsidR="006932C7" w:rsidRPr="00180AD4" w:rsidRDefault="006932C7">
      <w:pPr>
        <w:pStyle w:val="a8"/>
        <w:tabs>
          <w:tab w:val="left" w:pos="567"/>
        </w:tabs>
        <w:ind w:left="142"/>
        <w:jc w:val="both"/>
      </w:pPr>
    </w:p>
    <w:p w:rsidR="006932C7" w:rsidRPr="00180AD4" w:rsidRDefault="00E079CE">
      <w:pPr>
        <w:pStyle w:val="a8"/>
        <w:numPr>
          <w:ilvl w:val="0"/>
          <w:numId w:val="5"/>
        </w:numPr>
        <w:tabs>
          <w:tab w:val="left" w:pos="567"/>
        </w:tabs>
        <w:jc w:val="both"/>
      </w:pPr>
      <w:r w:rsidRPr="00180AD4">
        <w:rPr>
          <w:b/>
        </w:rPr>
        <w:t>Требования к выдаваемой документации:</w:t>
      </w:r>
    </w:p>
    <w:p w:rsidR="006932C7" w:rsidRPr="00180AD4" w:rsidRDefault="00E079CE">
      <w:pPr>
        <w:pStyle w:val="a8"/>
        <w:tabs>
          <w:tab w:val="left" w:pos="567"/>
        </w:tabs>
        <w:spacing w:after="200"/>
        <w:ind w:left="0"/>
        <w:jc w:val="both"/>
      </w:pPr>
      <w:r w:rsidRPr="00180AD4">
        <w:t>5.1. Рабочую документацию выполнить в соответствии с нормативными требованиями ГОСТ Р 21.101-2020 «Система проектной документации для строительства. Основные требования к проектной и рабочей документации»;</w:t>
      </w:r>
    </w:p>
    <w:p w:rsidR="006932C7" w:rsidRPr="00180AD4" w:rsidRDefault="00E079CE">
      <w:pPr>
        <w:pStyle w:val="a8"/>
        <w:tabs>
          <w:tab w:val="left" w:pos="567"/>
        </w:tabs>
        <w:spacing w:after="200"/>
        <w:ind w:left="0"/>
        <w:jc w:val="both"/>
      </w:pPr>
      <w:r w:rsidRPr="00180AD4">
        <w:t>5.2. Рабочую документацию выполнить в соответствие с требованиями Градостроительного кодекса, действующими техническими регламентами и другими нормативными документами, а также законодательством и другими регламентирующими документами субъектов РФ, муниципальных образований и других хозяйствующих субъектов, на территории которых проводится строительство или реконструкция объектов капитального строительства. Документация должна быть выполнена в соответствии с требованиями охраны окружающей среды, ПТБ, ППБ.</w:t>
      </w:r>
    </w:p>
    <w:p w:rsidR="006932C7" w:rsidRPr="00180AD4" w:rsidRDefault="00E079CE">
      <w:pPr>
        <w:pStyle w:val="a8"/>
        <w:tabs>
          <w:tab w:val="left" w:pos="567"/>
        </w:tabs>
        <w:spacing w:after="200"/>
        <w:ind w:left="0"/>
        <w:jc w:val="both"/>
      </w:pPr>
      <w:r w:rsidRPr="00180AD4">
        <w:t>5.3. В рабочей документации обосновать выбор и объемы используемых материалов и оборудования. При отсутствии технического задания на некоторые виды ТМЦ предусмотреть использование сертифицированного и разрешенного к применению на территории РФ ТМЦ и согласовать на стадии разработки документации. Все поставляемые для выполнения работ материалы, изделия (материальные ресурсы)/оборудование должны иметь соответствующие сертификаты, паспорта и другие документы, удостоверяющие их качество и соответствовать проектным спецификациям и стандартам;</w:t>
      </w:r>
    </w:p>
    <w:p w:rsidR="006932C7" w:rsidRPr="00180AD4" w:rsidRDefault="00E079CE">
      <w:pPr>
        <w:pStyle w:val="a8"/>
        <w:tabs>
          <w:tab w:val="left" w:pos="567"/>
        </w:tabs>
        <w:spacing w:after="200"/>
        <w:ind w:left="0"/>
        <w:jc w:val="both"/>
      </w:pPr>
      <w:r w:rsidRPr="00180AD4">
        <w:t xml:space="preserve">5.4. Разработанную по титулу проектную документацию передать Заказчику в 5 (пяти) экземплярах на бумажном носителе, в 1 (одном) экземпляре в электронном виде с возможностью редактирования (*.dwg и иные бинарные форматы файлов, используемый для хранения проектных данных и метаданных), а также в формате *.pdf и в 2 (двух) экземплярах на DVD и/или Flash-накопителе в формате данных системы комплектования электронного архива документов. </w:t>
      </w:r>
    </w:p>
    <w:p w:rsidR="006932C7" w:rsidRPr="00180AD4" w:rsidRDefault="00E079CE">
      <w:pPr>
        <w:pStyle w:val="a8"/>
        <w:tabs>
          <w:tab w:val="left" w:pos="567"/>
        </w:tabs>
        <w:spacing w:after="200"/>
        <w:ind w:left="0"/>
        <w:jc w:val="both"/>
      </w:pPr>
      <w:r w:rsidRPr="00180AD4">
        <w:t>5.6. Если при строительстве ЛЭП-10 кВ потребуется строительство не только воздушной, но и кабельной линии 10 кВ, в рабочей документации должны быть выполнены требования для прокладки кабеля в земле ГОСТ Р МЭК 61386.24-2014.</w:t>
      </w:r>
    </w:p>
    <w:p w:rsidR="006932C7" w:rsidRPr="00180AD4" w:rsidRDefault="00E079CE">
      <w:pPr>
        <w:pStyle w:val="a8"/>
        <w:tabs>
          <w:tab w:val="left" w:pos="567"/>
        </w:tabs>
        <w:spacing w:after="200"/>
        <w:ind w:left="0"/>
        <w:jc w:val="both"/>
      </w:pPr>
      <w:r w:rsidRPr="00180AD4">
        <w:t xml:space="preserve">5.7. Если при строительстве ЛЭП-10 кВ потребуется выполнение работ методом ГНБ, рабочая документация в части выполнения работ по прокладке подземных инженерных коммуникаций (использование технологии ГНБ) должна быть выполнена в соответствии с СП 341.1325800.2017. Прокладка подземных инженерных коммуникаций с использованием технологии ГНБ должна быть обоснована технико-экономическим расчетом. Обосновать расчетом использование и количество бурового раствора и специальных добавок. </w:t>
      </w:r>
    </w:p>
    <w:p w:rsidR="006932C7" w:rsidRPr="00180AD4" w:rsidRDefault="00E079CE">
      <w:pPr>
        <w:pStyle w:val="a8"/>
        <w:tabs>
          <w:tab w:val="left" w:pos="567"/>
        </w:tabs>
        <w:spacing w:after="200"/>
        <w:ind w:left="0"/>
        <w:jc w:val="both"/>
      </w:pPr>
      <w:r w:rsidRPr="00180AD4">
        <w:t>5.8. В целях рассмотрения и согласования разработанной рабочей документации Подрядчик предоставляет стандартизованный формат географических структур, данных проектируемых ЛЭП, основанный на JSON (GeoJSON) и файлы формата KML (созданных на основе стандарта XML и использует основанную на тегах структуру с вложенными элементами и атрибутами).</w:t>
      </w:r>
    </w:p>
    <w:p w:rsidR="006932C7" w:rsidRPr="00180AD4" w:rsidRDefault="006932C7">
      <w:pPr>
        <w:pStyle w:val="a8"/>
        <w:tabs>
          <w:tab w:val="left" w:pos="567"/>
        </w:tabs>
        <w:spacing w:after="200"/>
        <w:ind w:left="0"/>
        <w:jc w:val="both"/>
      </w:pPr>
    </w:p>
    <w:p w:rsidR="006932C7" w:rsidRPr="00E079CE" w:rsidRDefault="00E079CE">
      <w:pPr>
        <w:pStyle w:val="a8"/>
        <w:tabs>
          <w:tab w:val="left" w:pos="567"/>
        </w:tabs>
        <w:spacing w:after="200"/>
        <w:ind w:left="0"/>
        <w:jc w:val="both"/>
      </w:pPr>
      <w:r w:rsidRPr="00E079CE">
        <w:t>6. Подрядчик обязан:</w:t>
      </w:r>
    </w:p>
    <w:p w:rsidR="006932C7" w:rsidRPr="00E079CE" w:rsidRDefault="00E079CE">
      <w:pPr>
        <w:pStyle w:val="a8"/>
        <w:tabs>
          <w:tab w:val="left" w:pos="567"/>
        </w:tabs>
        <w:spacing w:after="200"/>
        <w:ind w:left="0"/>
        <w:jc w:val="both"/>
      </w:pPr>
      <w:r w:rsidRPr="00E079CE">
        <w:t xml:space="preserve">Выполнить работы в соответствии с условиями договора и проектно-сметной документацией. Обеспечить качественное, правильное и безопасное выполнение работ по строительству ЛЭП-10 кВ, ТП-10/0,4 кВ для присоединения объекта дорожного хозяйства (светофорные объекты, объекты видеофиксации, пункт весогабаритного контроля)», расположенного по адресу: 04 ОП РЗ 04К-029 «САЯНЫ» в соответствии с «Правилами устройства электроустановок» (7 издание с исправлениями) и иными действующими нормативно-техническими документами. </w:t>
      </w:r>
    </w:p>
    <w:p w:rsidR="006932C7" w:rsidRPr="00E079CE" w:rsidRDefault="00E079CE">
      <w:pPr>
        <w:widowControl w:val="0"/>
        <w:ind w:firstLine="708"/>
        <w:contextualSpacing/>
        <w:jc w:val="both"/>
      </w:pPr>
      <w:r w:rsidRPr="00E079CE">
        <w:t>Осуществить своими силами и средствами доставку материалов, изделий (материальных ресурсов)/оборудования, необходимых для выполнения работ, к месту их выполнения.</w:t>
      </w:r>
    </w:p>
    <w:p w:rsidR="006932C7" w:rsidRPr="00E079CE" w:rsidRDefault="00E079CE">
      <w:pPr>
        <w:widowControl w:val="0"/>
        <w:ind w:firstLine="708"/>
        <w:contextualSpacing/>
        <w:jc w:val="both"/>
      </w:pPr>
      <w:r w:rsidRPr="00E079CE">
        <w:t>До начала производства строительно-монтажных работ согласовать с Заказчиком детальный проект производства работ (ППР) с указанием очередности и сроков их выполнения в соответствии с действующей нормативно-технической документацией.</w:t>
      </w:r>
    </w:p>
    <w:p w:rsidR="006932C7" w:rsidRPr="00E079CE" w:rsidRDefault="00E079CE">
      <w:pPr>
        <w:widowControl w:val="0"/>
        <w:ind w:firstLine="708"/>
        <w:contextualSpacing/>
        <w:jc w:val="both"/>
      </w:pPr>
      <w:r w:rsidRPr="00E079CE">
        <w:t>Обеспечивать при выполнении работ соблюдение необходимых мероприятий по охране труда, технике безопасности, пожарной безопасности, ПОТЭЭ (Правил по охране труда при эксплуатации электроустановок) при выполнении строительных, монтажных, наладочных, ремонтных работ, при проведении испытаний и измерений на территории производства работ и т. д.</w:t>
      </w:r>
    </w:p>
    <w:p w:rsidR="006932C7" w:rsidRPr="00E079CE" w:rsidRDefault="00E079CE">
      <w:pPr>
        <w:widowControl w:val="0"/>
        <w:ind w:firstLine="708"/>
        <w:contextualSpacing/>
        <w:jc w:val="both"/>
      </w:pPr>
      <w:r w:rsidRPr="00E079CE">
        <w:t>Обеспечивать при выполнении работ осуществление необходимых мероприятий по охране окружающей среды, в том числе, но не ограничиваясь:</w:t>
      </w:r>
    </w:p>
    <w:p w:rsidR="006932C7" w:rsidRPr="00E079CE" w:rsidRDefault="00E079CE">
      <w:pPr>
        <w:ind w:firstLine="709"/>
        <w:jc w:val="both"/>
      </w:pPr>
      <w:r w:rsidRPr="00E079CE">
        <w:t>Осуществить утилизацию демонтированных при производстве работ материалов, запасных частей, комплектующих и оборудования, утилизация которых предусмотрена рабочей документацией, с соблюдением требований, установленных действующим законодательством. По требованию Заказчика предоставить акт утилизации или иной документ, подтверждающий исполнение Подрядчиком указанной обязанности.</w:t>
      </w:r>
    </w:p>
    <w:p w:rsidR="006932C7" w:rsidRPr="00E079CE" w:rsidRDefault="00E079CE">
      <w:pPr>
        <w:tabs>
          <w:tab w:val="left" w:pos="360"/>
          <w:tab w:val="left" w:pos="540"/>
        </w:tabs>
        <w:ind w:firstLine="709"/>
        <w:contextualSpacing/>
        <w:jc w:val="both"/>
      </w:pPr>
      <w:r w:rsidRPr="00E079CE">
        <w:t>Работы Подрядчиком выполняются с использованием материалов, изделий (материальных ресурсов)/оборудования, принадлежащих Подрядчику.</w:t>
      </w:r>
    </w:p>
    <w:p w:rsidR="006932C7" w:rsidRPr="00E079CE" w:rsidRDefault="00E079CE">
      <w:pPr>
        <w:tabs>
          <w:tab w:val="left" w:pos="360"/>
          <w:tab w:val="left" w:pos="540"/>
        </w:tabs>
        <w:ind w:firstLine="709"/>
        <w:contextualSpacing/>
        <w:jc w:val="both"/>
      </w:pPr>
      <w:r w:rsidRPr="00E079CE">
        <w:t>Работы на объекте осуществляются в соответствии с согласованной со всеми необходимыми организациями и утверждённой в производство работ проектно-сметной документацией и положениями, в том числе в соответствии с действующими нормативными документами РФ и правилами, а также условиями настоящего договора.</w:t>
      </w:r>
    </w:p>
    <w:p w:rsidR="006932C7" w:rsidRPr="00E079CE" w:rsidRDefault="006932C7">
      <w:pPr>
        <w:widowControl w:val="0"/>
        <w:ind w:firstLine="709"/>
        <w:contextualSpacing/>
        <w:jc w:val="both"/>
      </w:pPr>
    </w:p>
    <w:p w:rsidR="006932C7" w:rsidRPr="00E079CE" w:rsidRDefault="00E079CE">
      <w:pPr>
        <w:pStyle w:val="a8"/>
        <w:tabs>
          <w:tab w:val="left" w:pos="567"/>
        </w:tabs>
        <w:spacing w:after="200"/>
        <w:ind w:left="0"/>
        <w:jc w:val="both"/>
      </w:pPr>
      <w:r w:rsidRPr="00E079CE">
        <w:t>Не позднее даты окончания проектно-изыскательских работ передать Заказчику проектно-сметную документацию на выполнение строительно-монтажных и пусконаладочных работ, в том числе сметы на выполнение пусконаладочных работ, по акту о приёмке выполненных работ на материальных носителях.</w:t>
      </w:r>
    </w:p>
    <w:p w:rsidR="006932C7" w:rsidRPr="00180AD4" w:rsidRDefault="006932C7">
      <w:pPr>
        <w:pStyle w:val="a8"/>
        <w:tabs>
          <w:tab w:val="left" w:pos="567"/>
        </w:tabs>
        <w:spacing w:after="200"/>
        <w:ind w:left="0"/>
        <w:jc w:val="both"/>
      </w:pPr>
    </w:p>
    <w:p w:rsidR="006932C7" w:rsidRPr="00180AD4" w:rsidRDefault="00E079CE">
      <w:pPr>
        <w:pStyle w:val="a8"/>
        <w:tabs>
          <w:tab w:val="left" w:pos="567"/>
        </w:tabs>
        <w:spacing w:after="200"/>
        <w:ind w:left="0"/>
        <w:jc w:val="both"/>
      </w:pPr>
      <w:r w:rsidRPr="00180AD4">
        <w:t>5.9. В период производства и окончания строительно-монтажных и пусконаладочных работ выполняется (готовится) исполнительная документация, результаты которой передаются в филиал ПАО "Россети Сибирь"-"Красноярскэнерго" и Заказчику.</w:t>
      </w:r>
    </w:p>
    <w:p w:rsidR="006932C7" w:rsidRPr="00180AD4" w:rsidRDefault="006932C7">
      <w:pPr>
        <w:pStyle w:val="a8"/>
        <w:tabs>
          <w:tab w:val="left" w:pos="567"/>
        </w:tabs>
        <w:spacing w:after="200"/>
        <w:ind w:left="0"/>
        <w:jc w:val="both"/>
      </w:pPr>
    </w:p>
    <w:p w:rsidR="006932C7" w:rsidRPr="00180AD4" w:rsidRDefault="00E079CE">
      <w:pPr>
        <w:pStyle w:val="a8"/>
        <w:numPr>
          <w:ilvl w:val="0"/>
          <w:numId w:val="5"/>
        </w:numPr>
        <w:spacing w:after="200"/>
        <w:jc w:val="both"/>
      </w:pPr>
      <w:r w:rsidRPr="00180AD4">
        <w:rPr>
          <w:b/>
        </w:rPr>
        <w:t>Заказчик-титулодержатель</w:t>
      </w:r>
    </w:p>
    <w:p w:rsidR="006932C7" w:rsidRPr="00180AD4" w:rsidRDefault="00E079CE">
      <w:pPr>
        <w:pStyle w:val="a8"/>
        <w:spacing w:after="200"/>
        <w:ind w:left="0"/>
        <w:jc w:val="both"/>
      </w:pPr>
      <w:r w:rsidRPr="00180AD4">
        <w:t>Публичное акционерное общество «Ростелеком» Красноярский филиал</w:t>
      </w:r>
    </w:p>
    <w:p w:rsidR="006932C7" w:rsidRPr="00180AD4" w:rsidRDefault="006932C7">
      <w:pPr>
        <w:pStyle w:val="a8"/>
        <w:spacing w:after="200"/>
        <w:ind w:left="360"/>
        <w:jc w:val="both"/>
      </w:pPr>
    </w:p>
    <w:p w:rsidR="006932C7" w:rsidRPr="00180AD4" w:rsidRDefault="00E079CE">
      <w:pPr>
        <w:pStyle w:val="a8"/>
        <w:numPr>
          <w:ilvl w:val="0"/>
          <w:numId w:val="5"/>
        </w:numPr>
        <w:spacing w:after="200"/>
        <w:jc w:val="both"/>
      </w:pPr>
      <w:r w:rsidRPr="00180AD4">
        <w:rPr>
          <w:b/>
        </w:rPr>
        <w:t xml:space="preserve">Эксплуатирующая организация </w:t>
      </w:r>
    </w:p>
    <w:p w:rsidR="006932C7" w:rsidRPr="00180AD4" w:rsidRDefault="00E079CE">
      <w:pPr>
        <w:pStyle w:val="a8"/>
        <w:spacing w:after="200"/>
        <w:ind w:left="360" w:hanging="360"/>
        <w:jc w:val="both"/>
      </w:pPr>
      <w:r w:rsidRPr="00180AD4">
        <w:t>Публичное акционерное общество «Ростелеком» Красноярский филиал</w:t>
      </w:r>
    </w:p>
    <w:p w:rsidR="006932C7" w:rsidRPr="00180AD4" w:rsidRDefault="006932C7">
      <w:pPr>
        <w:pStyle w:val="a8"/>
      </w:pPr>
    </w:p>
    <w:p w:rsidR="006932C7" w:rsidRPr="00180AD4" w:rsidRDefault="00E079CE">
      <w:pPr>
        <w:pStyle w:val="a8"/>
        <w:numPr>
          <w:ilvl w:val="0"/>
          <w:numId w:val="6"/>
        </w:numPr>
        <w:spacing w:after="200"/>
        <w:jc w:val="both"/>
        <w:rPr>
          <w:b/>
        </w:rPr>
      </w:pPr>
      <w:r w:rsidRPr="00180AD4">
        <w:rPr>
          <w:b/>
        </w:rPr>
        <w:t>Особые условия:</w:t>
      </w:r>
    </w:p>
    <w:p w:rsidR="006932C7" w:rsidRPr="00180AD4" w:rsidRDefault="00E079CE">
      <w:pPr>
        <w:pStyle w:val="a8"/>
        <w:numPr>
          <w:ilvl w:val="1"/>
          <w:numId w:val="6"/>
        </w:numPr>
        <w:ind w:left="0" w:firstLine="0"/>
        <w:contextualSpacing w:val="0"/>
        <w:jc w:val="both"/>
        <w:rPr>
          <w:b/>
        </w:rPr>
      </w:pPr>
      <w:r w:rsidRPr="00180AD4">
        <w:rPr>
          <w:b/>
        </w:rPr>
        <w:t xml:space="preserve"> </w:t>
      </w:r>
      <w:r w:rsidRPr="00180AD4">
        <w:t>В случае выявления на стадии выполнения строительно-монтажных и пуско-наладочных работ ошибок и недочётов в рабочей документации, подрядная организация обеспечивает безвозмездную корректировку технических решений с устранением несоответствий. Доработка решений, указанных в рабочей документации, не должна приводить к переносу срока сдачи-приёмки объекта;</w:t>
      </w:r>
    </w:p>
    <w:p w:rsidR="006932C7" w:rsidRPr="00180AD4" w:rsidRDefault="00E079CE">
      <w:pPr>
        <w:pStyle w:val="a8"/>
        <w:numPr>
          <w:ilvl w:val="1"/>
          <w:numId w:val="6"/>
        </w:numPr>
        <w:ind w:left="0" w:firstLine="0"/>
        <w:contextualSpacing w:val="0"/>
        <w:jc w:val="both"/>
        <w:rPr>
          <w:b/>
        </w:rPr>
      </w:pPr>
      <w:r w:rsidRPr="00180AD4">
        <w:rPr>
          <w:b/>
        </w:rPr>
        <w:t xml:space="preserve"> </w:t>
      </w:r>
      <w:r w:rsidRPr="00180AD4">
        <w:t>Разработанная по настоящему заданию рабочая документация является собственностью Заказчика, и передача её прямо или косвенно другим лицам для каких бы то ни было целей, а также копирование такой информации для других лиц, без его согласия запрещается;</w:t>
      </w:r>
    </w:p>
    <w:p w:rsidR="006932C7" w:rsidRPr="00180AD4" w:rsidRDefault="00E079CE">
      <w:pPr>
        <w:jc w:val="both"/>
        <w:rPr>
          <w:b/>
        </w:rPr>
      </w:pPr>
      <w:r w:rsidRPr="00180AD4">
        <w:t>8.3. Подрядная организовывает и сопровождает выполнение всего комплекса работ по отводу и оформлению земельных участков под строительство объектов, предусмотренных настоящим техническим заданием. В случае необходимости, Подрядчик информирует Заказчика о необходимости выдачи доверенности на представление интересов Заказчика, с указанием необходимых полномочий и с приложением копии паспорта представителя, оплату за работу по отводу и оформлению земельных участков под строительство объектов производит ПАО Ростелеком;</w:t>
      </w:r>
    </w:p>
    <w:p w:rsidR="006932C7" w:rsidRPr="00180AD4" w:rsidRDefault="00E079CE">
      <w:pPr>
        <w:pStyle w:val="a8"/>
        <w:numPr>
          <w:ilvl w:val="1"/>
          <w:numId w:val="6"/>
        </w:numPr>
        <w:spacing w:line="276" w:lineRule="auto"/>
        <w:ind w:left="0" w:firstLine="0"/>
        <w:contextualSpacing w:val="0"/>
        <w:jc w:val="both"/>
      </w:pPr>
      <w:r w:rsidRPr="00180AD4">
        <w:rPr>
          <w:b/>
        </w:rPr>
        <w:t xml:space="preserve"> </w:t>
      </w:r>
      <w:r w:rsidRPr="00180AD4">
        <w:t xml:space="preserve">Тип местности – определится после оформления участка под размещение линейного объекта. </w:t>
      </w:r>
    </w:p>
    <w:p w:rsidR="006932C7" w:rsidRDefault="006932C7">
      <w:pPr>
        <w:spacing w:line="276" w:lineRule="auto"/>
        <w:jc w:val="both"/>
      </w:pPr>
    </w:p>
    <w:p w:rsidR="006932C7" w:rsidRDefault="006932C7">
      <w:pPr>
        <w:spacing w:line="276" w:lineRule="auto"/>
        <w:jc w:val="both"/>
      </w:pPr>
    </w:p>
    <w:p w:rsidR="006932C7" w:rsidRDefault="006932C7">
      <w:pPr>
        <w:spacing w:line="276" w:lineRule="auto"/>
        <w:jc w:val="both"/>
      </w:pPr>
    </w:p>
    <w:p w:rsidR="006932C7" w:rsidRDefault="006932C7">
      <w:pPr>
        <w:spacing w:line="276" w:lineRule="auto"/>
        <w:jc w:val="both"/>
      </w:pPr>
    </w:p>
    <w:p w:rsidR="006932C7" w:rsidRDefault="006932C7">
      <w:pPr>
        <w:spacing w:line="276" w:lineRule="auto"/>
        <w:jc w:val="both"/>
      </w:pPr>
    </w:p>
    <w:p w:rsidR="006932C7" w:rsidRDefault="006932C7">
      <w:pPr>
        <w:spacing w:line="276" w:lineRule="auto"/>
        <w:jc w:val="both"/>
      </w:pPr>
    </w:p>
    <w:p w:rsidR="006932C7" w:rsidRDefault="006932C7">
      <w:pPr>
        <w:spacing w:line="276" w:lineRule="auto"/>
        <w:jc w:val="both"/>
      </w:pPr>
    </w:p>
    <w:tbl>
      <w:tblPr>
        <w:tblW w:w="10151" w:type="dxa"/>
        <w:jc w:val="center"/>
        <w:tblLayout w:type="fixed"/>
        <w:tblCellMar>
          <w:left w:w="28" w:type="dxa"/>
          <w:right w:w="28" w:type="dxa"/>
        </w:tblCellMar>
        <w:tblLook w:val="04A0" w:firstRow="1" w:lastRow="0" w:firstColumn="1" w:lastColumn="0" w:noHBand="0" w:noVBand="1"/>
      </w:tblPr>
      <w:tblGrid>
        <w:gridCol w:w="2392"/>
        <w:gridCol w:w="115"/>
        <w:gridCol w:w="2508"/>
        <w:gridCol w:w="408"/>
        <w:gridCol w:w="2757"/>
        <w:gridCol w:w="115"/>
        <w:gridCol w:w="1856"/>
      </w:tblGrid>
      <w:tr w:rsidR="006932C7">
        <w:trPr>
          <w:trHeight w:val="429"/>
          <w:jc w:val="center"/>
        </w:trPr>
        <w:tc>
          <w:tcPr>
            <w:tcW w:w="5014" w:type="dxa"/>
            <w:gridSpan w:val="3"/>
            <w:vAlign w:val="bottom"/>
          </w:tcPr>
          <w:p w:rsidR="006932C7" w:rsidRDefault="006932C7"/>
        </w:tc>
        <w:tc>
          <w:tcPr>
            <w:tcW w:w="408" w:type="dxa"/>
            <w:vAlign w:val="bottom"/>
          </w:tcPr>
          <w:p w:rsidR="006932C7" w:rsidRDefault="006932C7">
            <w:pPr>
              <w:spacing w:line="276" w:lineRule="auto"/>
              <w:jc w:val="both"/>
              <w:rPr>
                <w:b/>
              </w:rPr>
            </w:pPr>
          </w:p>
        </w:tc>
        <w:tc>
          <w:tcPr>
            <w:tcW w:w="4728" w:type="dxa"/>
            <w:gridSpan w:val="3"/>
            <w:vAlign w:val="bottom"/>
          </w:tcPr>
          <w:p w:rsidR="006932C7" w:rsidRDefault="006932C7"/>
        </w:tc>
      </w:tr>
      <w:tr w:rsidR="006932C7">
        <w:trPr>
          <w:trHeight w:val="429"/>
          <w:jc w:val="center"/>
        </w:trPr>
        <w:tc>
          <w:tcPr>
            <w:tcW w:w="5014" w:type="dxa"/>
            <w:gridSpan w:val="3"/>
            <w:tcBorders>
              <w:bottom w:val="single" w:sz="4" w:space="0" w:color="000000"/>
            </w:tcBorders>
            <w:vAlign w:val="bottom"/>
          </w:tcPr>
          <w:p w:rsidR="006932C7" w:rsidRDefault="006932C7"/>
        </w:tc>
        <w:tc>
          <w:tcPr>
            <w:tcW w:w="408" w:type="dxa"/>
            <w:vAlign w:val="bottom"/>
          </w:tcPr>
          <w:p w:rsidR="006932C7" w:rsidRDefault="006932C7">
            <w:pPr>
              <w:spacing w:line="276" w:lineRule="auto"/>
              <w:jc w:val="both"/>
            </w:pPr>
          </w:p>
        </w:tc>
        <w:tc>
          <w:tcPr>
            <w:tcW w:w="4728" w:type="dxa"/>
            <w:gridSpan w:val="3"/>
            <w:tcBorders>
              <w:bottom w:val="single" w:sz="4" w:space="0" w:color="000000"/>
            </w:tcBorders>
            <w:vAlign w:val="bottom"/>
          </w:tcPr>
          <w:p w:rsidR="006932C7" w:rsidRDefault="006932C7"/>
        </w:tc>
      </w:tr>
      <w:tr w:rsidR="006932C7">
        <w:trPr>
          <w:trHeight w:val="194"/>
          <w:jc w:val="center"/>
        </w:trPr>
        <w:tc>
          <w:tcPr>
            <w:tcW w:w="5014" w:type="dxa"/>
            <w:gridSpan w:val="3"/>
          </w:tcPr>
          <w:p w:rsidR="006932C7" w:rsidRDefault="006932C7"/>
        </w:tc>
        <w:tc>
          <w:tcPr>
            <w:tcW w:w="408" w:type="dxa"/>
          </w:tcPr>
          <w:p w:rsidR="006932C7" w:rsidRDefault="006932C7">
            <w:pPr>
              <w:spacing w:line="276" w:lineRule="auto"/>
              <w:jc w:val="both"/>
            </w:pPr>
          </w:p>
        </w:tc>
        <w:tc>
          <w:tcPr>
            <w:tcW w:w="4728" w:type="dxa"/>
            <w:gridSpan w:val="3"/>
          </w:tcPr>
          <w:p w:rsidR="006932C7" w:rsidRDefault="006932C7"/>
        </w:tc>
      </w:tr>
      <w:tr w:rsidR="006932C7">
        <w:trPr>
          <w:trHeight w:val="185"/>
          <w:jc w:val="center"/>
        </w:trPr>
        <w:tc>
          <w:tcPr>
            <w:tcW w:w="5014" w:type="dxa"/>
            <w:gridSpan w:val="3"/>
          </w:tcPr>
          <w:p w:rsidR="006932C7" w:rsidRDefault="006932C7">
            <w:pPr>
              <w:spacing w:line="276" w:lineRule="auto"/>
              <w:jc w:val="both"/>
            </w:pPr>
          </w:p>
        </w:tc>
        <w:tc>
          <w:tcPr>
            <w:tcW w:w="408" w:type="dxa"/>
          </w:tcPr>
          <w:p w:rsidR="006932C7" w:rsidRDefault="006932C7">
            <w:pPr>
              <w:spacing w:line="276" w:lineRule="auto"/>
              <w:jc w:val="both"/>
            </w:pPr>
          </w:p>
        </w:tc>
        <w:tc>
          <w:tcPr>
            <w:tcW w:w="4728" w:type="dxa"/>
            <w:gridSpan w:val="3"/>
          </w:tcPr>
          <w:p w:rsidR="006932C7" w:rsidRDefault="006932C7">
            <w:pPr>
              <w:spacing w:line="276" w:lineRule="auto"/>
              <w:jc w:val="both"/>
            </w:pPr>
          </w:p>
        </w:tc>
      </w:tr>
      <w:tr w:rsidR="006932C7">
        <w:trPr>
          <w:trHeight w:val="224"/>
          <w:jc w:val="center"/>
        </w:trPr>
        <w:tc>
          <w:tcPr>
            <w:tcW w:w="2391" w:type="dxa"/>
            <w:tcBorders>
              <w:bottom w:val="single" w:sz="4" w:space="0" w:color="000000"/>
            </w:tcBorders>
            <w:vAlign w:val="bottom"/>
          </w:tcPr>
          <w:p w:rsidR="006932C7" w:rsidRDefault="006932C7">
            <w:pPr>
              <w:spacing w:line="276" w:lineRule="auto"/>
              <w:jc w:val="both"/>
            </w:pPr>
          </w:p>
        </w:tc>
        <w:tc>
          <w:tcPr>
            <w:tcW w:w="115" w:type="dxa"/>
            <w:vAlign w:val="bottom"/>
          </w:tcPr>
          <w:p w:rsidR="006932C7" w:rsidRDefault="006932C7"/>
        </w:tc>
        <w:tc>
          <w:tcPr>
            <w:tcW w:w="2508" w:type="dxa"/>
            <w:tcBorders>
              <w:bottom w:val="single" w:sz="4" w:space="0" w:color="000000"/>
            </w:tcBorders>
            <w:vAlign w:val="bottom"/>
          </w:tcPr>
          <w:p w:rsidR="006932C7" w:rsidRDefault="006932C7"/>
        </w:tc>
        <w:tc>
          <w:tcPr>
            <w:tcW w:w="408" w:type="dxa"/>
            <w:vAlign w:val="bottom"/>
          </w:tcPr>
          <w:p w:rsidR="006932C7" w:rsidRDefault="006932C7">
            <w:pPr>
              <w:spacing w:line="276" w:lineRule="auto"/>
              <w:jc w:val="both"/>
            </w:pPr>
          </w:p>
        </w:tc>
        <w:tc>
          <w:tcPr>
            <w:tcW w:w="2757" w:type="dxa"/>
            <w:tcBorders>
              <w:bottom w:val="single" w:sz="4" w:space="0" w:color="000000"/>
            </w:tcBorders>
            <w:vAlign w:val="bottom"/>
          </w:tcPr>
          <w:p w:rsidR="006932C7" w:rsidRDefault="006932C7">
            <w:pPr>
              <w:spacing w:line="276" w:lineRule="auto"/>
              <w:jc w:val="both"/>
            </w:pPr>
          </w:p>
        </w:tc>
        <w:tc>
          <w:tcPr>
            <w:tcW w:w="115" w:type="dxa"/>
            <w:vAlign w:val="bottom"/>
          </w:tcPr>
          <w:p w:rsidR="006932C7" w:rsidRDefault="006932C7"/>
        </w:tc>
        <w:tc>
          <w:tcPr>
            <w:tcW w:w="1856" w:type="dxa"/>
            <w:tcBorders>
              <w:bottom w:val="single" w:sz="4" w:space="0" w:color="000000"/>
            </w:tcBorders>
            <w:vAlign w:val="bottom"/>
          </w:tcPr>
          <w:p w:rsidR="006932C7" w:rsidRDefault="006932C7"/>
        </w:tc>
      </w:tr>
      <w:tr w:rsidR="006932C7">
        <w:trPr>
          <w:trHeight w:val="64"/>
          <w:jc w:val="center"/>
        </w:trPr>
        <w:tc>
          <w:tcPr>
            <w:tcW w:w="5014" w:type="dxa"/>
            <w:gridSpan w:val="3"/>
          </w:tcPr>
          <w:p w:rsidR="006932C7" w:rsidRDefault="006932C7"/>
        </w:tc>
        <w:tc>
          <w:tcPr>
            <w:tcW w:w="408" w:type="dxa"/>
          </w:tcPr>
          <w:p w:rsidR="006932C7" w:rsidRDefault="006932C7">
            <w:pPr>
              <w:jc w:val="both"/>
            </w:pPr>
          </w:p>
        </w:tc>
        <w:tc>
          <w:tcPr>
            <w:tcW w:w="4728" w:type="dxa"/>
            <w:gridSpan w:val="3"/>
          </w:tcPr>
          <w:p w:rsidR="006932C7" w:rsidRDefault="006932C7"/>
        </w:tc>
      </w:tr>
    </w:tbl>
    <w:p w:rsidR="006932C7" w:rsidRDefault="006932C7">
      <w:pPr>
        <w:pStyle w:val="aa"/>
        <w:tabs>
          <w:tab w:val="left" w:pos="972"/>
        </w:tabs>
        <w:jc w:val="both"/>
        <w:rPr>
          <w:sz w:val="24"/>
        </w:rPr>
      </w:pPr>
    </w:p>
    <w:sectPr w:rsidR="006932C7">
      <w:footerReference w:type="even" r:id="rId7"/>
      <w:footerReference w:type="default" r:id="rId8"/>
      <w:footerReference w:type="first" r:id="rId9"/>
      <w:pgSz w:w="11906" w:h="16838"/>
      <w:pgMar w:top="426" w:right="424" w:bottom="765" w:left="1134"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E9" w:rsidRDefault="00E079CE">
      <w:r>
        <w:separator/>
      </w:r>
    </w:p>
  </w:endnote>
  <w:endnote w:type="continuationSeparator" w:id="0">
    <w:p w:rsidR="009C5DE9" w:rsidRDefault="00E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altName w:val="Times New Roman"/>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2C7" w:rsidRDefault="006932C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2C7" w:rsidRDefault="00E079CE">
    <w:pPr>
      <w:pStyle w:val="a4"/>
      <w:jc w:val="center"/>
    </w:pPr>
    <w:r>
      <w:fldChar w:fldCharType="begin"/>
    </w:r>
    <w:r>
      <w:instrText xml:space="preserve"> PAGE </w:instrText>
    </w:r>
    <w:r>
      <w:fldChar w:fldCharType="separate"/>
    </w:r>
    <w:r w:rsidR="007114B0">
      <w:rPr>
        <w:noProof/>
      </w:rPr>
      <w:t>1</w:t>
    </w:r>
    <w:r>
      <w:fldChar w:fldCharType="end"/>
    </w:r>
  </w:p>
  <w:p w:rsidR="006932C7" w:rsidRDefault="006932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2C7" w:rsidRDefault="00E079CE">
    <w:pPr>
      <w:pStyle w:val="a4"/>
      <w:jc w:val="center"/>
    </w:pPr>
    <w:r>
      <w:fldChar w:fldCharType="begin"/>
    </w:r>
    <w:r>
      <w:instrText xml:space="preserve"> PAGE </w:instrText>
    </w:r>
    <w:r>
      <w:fldChar w:fldCharType="separate"/>
    </w:r>
    <w:r>
      <w:t>4</w:t>
    </w:r>
    <w:r>
      <w:fldChar w:fldCharType="end"/>
    </w:r>
  </w:p>
  <w:p w:rsidR="006932C7" w:rsidRDefault="006932C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E9" w:rsidRDefault="00E079CE">
      <w:r>
        <w:separator/>
      </w:r>
    </w:p>
  </w:footnote>
  <w:footnote w:type="continuationSeparator" w:id="0">
    <w:p w:rsidR="009C5DE9" w:rsidRDefault="00E0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684F"/>
    <w:multiLevelType w:val="multilevel"/>
    <w:tmpl w:val="CA849EE8"/>
    <w:lvl w:ilvl="0">
      <w:start w:val="3"/>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EDA5682"/>
    <w:multiLevelType w:val="multilevel"/>
    <w:tmpl w:val="02A486FA"/>
    <w:lvl w:ilvl="0">
      <w:start w:val="4"/>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48C272DB"/>
    <w:multiLevelType w:val="multilevel"/>
    <w:tmpl w:val="1D0E0DD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3" w15:restartNumberingAfterBreak="0">
    <w:nsid w:val="4A950C5F"/>
    <w:multiLevelType w:val="multilevel"/>
    <w:tmpl w:val="8D8249A2"/>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 w15:restartNumberingAfterBreak="0">
    <w:nsid w:val="64EE50BD"/>
    <w:multiLevelType w:val="multilevel"/>
    <w:tmpl w:val="5FC6B07C"/>
    <w:lvl w:ilvl="0">
      <w:start w:val="8"/>
      <w:numFmt w:val="decimal"/>
      <w:lvlText w:val="%1."/>
      <w:lvlJc w:val="left"/>
      <w:pPr>
        <w:tabs>
          <w:tab w:val="num" w:pos="0"/>
        </w:tabs>
        <w:ind w:left="360" w:hanging="360"/>
      </w:pPr>
    </w:lvl>
    <w:lvl w:ilvl="1">
      <w:start w:val="1"/>
      <w:numFmt w:val="decimal"/>
      <w:lvlText w:val="%1.%2."/>
      <w:lvlJc w:val="left"/>
      <w:pPr>
        <w:tabs>
          <w:tab w:val="num" w:pos="0"/>
        </w:tabs>
        <w:ind w:left="502" w:hanging="360"/>
      </w:pPr>
      <w:rPr>
        <w:b w:val="0"/>
      </w:r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5" w15:restartNumberingAfterBreak="0">
    <w:nsid w:val="786F02FB"/>
    <w:multiLevelType w:val="multilevel"/>
    <w:tmpl w:val="20084E4C"/>
    <w:lvl w:ilvl="0">
      <w:start w:val="1"/>
      <w:numFmt w:val="decimal"/>
      <w:lvlText w:val="%1."/>
      <w:lvlJc w:val="left"/>
      <w:pPr>
        <w:tabs>
          <w:tab w:val="num" w:pos="0"/>
        </w:tabs>
        <w:ind w:left="76" w:hanging="360"/>
      </w:pPr>
      <w:rPr>
        <w:b/>
        <w:color w:val="000000"/>
      </w:rPr>
    </w:lvl>
    <w:lvl w:ilvl="1">
      <w:start w:val="1"/>
      <w:numFmt w:val="decimal"/>
      <w:lvlText w:val="%1.%2."/>
      <w:lvlJc w:val="left"/>
      <w:pPr>
        <w:tabs>
          <w:tab w:val="num" w:pos="0"/>
        </w:tabs>
        <w:ind w:left="76" w:hanging="360"/>
      </w:pPr>
      <w:rPr>
        <w:b w:val="0"/>
      </w:rPr>
    </w:lvl>
    <w:lvl w:ilvl="2">
      <w:start w:val="1"/>
      <w:numFmt w:val="decimal"/>
      <w:lvlText w:val="%1.%2.%3."/>
      <w:lvlJc w:val="left"/>
      <w:pPr>
        <w:tabs>
          <w:tab w:val="num" w:pos="0"/>
        </w:tabs>
        <w:ind w:left="436" w:hanging="720"/>
      </w:pPr>
      <w:rPr>
        <w:b w:val="0"/>
      </w:rPr>
    </w:lvl>
    <w:lvl w:ilvl="3">
      <w:start w:val="1"/>
      <w:numFmt w:val="decimal"/>
      <w:lvlText w:val="%1.%2.%3.%4."/>
      <w:lvlJc w:val="left"/>
      <w:pPr>
        <w:tabs>
          <w:tab w:val="num" w:pos="0"/>
        </w:tabs>
        <w:ind w:left="436" w:hanging="720"/>
      </w:pPr>
    </w:lvl>
    <w:lvl w:ilvl="4">
      <w:start w:val="1"/>
      <w:numFmt w:val="decimal"/>
      <w:lvlText w:val="%1.%2.%3.%4.%5."/>
      <w:lvlJc w:val="left"/>
      <w:pPr>
        <w:tabs>
          <w:tab w:val="num" w:pos="0"/>
        </w:tabs>
        <w:ind w:left="796" w:hanging="1080"/>
      </w:pPr>
    </w:lvl>
    <w:lvl w:ilvl="5">
      <w:start w:val="1"/>
      <w:numFmt w:val="decimal"/>
      <w:lvlText w:val="%1.%2.%3.%4.%5.%6."/>
      <w:lvlJc w:val="left"/>
      <w:pPr>
        <w:tabs>
          <w:tab w:val="num" w:pos="0"/>
        </w:tabs>
        <w:ind w:left="796" w:hanging="1080"/>
      </w:pPr>
    </w:lvl>
    <w:lvl w:ilvl="6">
      <w:start w:val="1"/>
      <w:numFmt w:val="decimal"/>
      <w:lvlText w:val="%1.%2.%3.%4.%5.%6.%7."/>
      <w:lvlJc w:val="left"/>
      <w:pPr>
        <w:tabs>
          <w:tab w:val="num" w:pos="0"/>
        </w:tabs>
        <w:ind w:left="1156" w:hanging="1440"/>
      </w:pPr>
    </w:lvl>
    <w:lvl w:ilvl="7">
      <w:start w:val="1"/>
      <w:numFmt w:val="decimal"/>
      <w:lvlText w:val="%1.%2.%3.%4.%5.%6.%7.%8."/>
      <w:lvlJc w:val="left"/>
      <w:pPr>
        <w:tabs>
          <w:tab w:val="num" w:pos="0"/>
        </w:tabs>
        <w:ind w:left="1156" w:hanging="1440"/>
      </w:pPr>
    </w:lvl>
    <w:lvl w:ilvl="8">
      <w:start w:val="1"/>
      <w:numFmt w:val="decimal"/>
      <w:lvlText w:val="%1.%2.%3.%4.%5.%6.%7.%8.%9."/>
      <w:lvlJc w:val="left"/>
      <w:pPr>
        <w:tabs>
          <w:tab w:val="num" w:pos="0"/>
        </w:tabs>
        <w:ind w:left="1516" w:hanging="1800"/>
      </w:pPr>
    </w:lvl>
  </w:abstractNum>
  <w:abstractNum w:abstractNumId="6" w15:restartNumberingAfterBreak="0">
    <w:nsid w:val="7F595E6E"/>
    <w:multiLevelType w:val="multilevel"/>
    <w:tmpl w:val="E9528F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C7"/>
    <w:rsid w:val="00180AD4"/>
    <w:rsid w:val="006932C7"/>
    <w:rsid w:val="007114B0"/>
    <w:rsid w:val="009C5DE9"/>
    <w:rsid w:val="00AB7997"/>
    <w:rsid w:val="00E079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B4B7E-75E2-4FB3-92C3-E713D9A6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10"/>
    <w:qFormat/>
    <w:rPr>
      <w:sz w:val="24"/>
    </w:rPr>
  </w:style>
  <w:style w:type="character" w:customStyle="1" w:styleId="21">
    <w:name w:val="Оглавление 2 Знак"/>
    <w:link w:val="22"/>
    <w:qFormat/>
    <w:rPr>
      <w:rFonts w:ascii="XO Thames" w:hAnsi="XO Thames"/>
      <w:sz w:val="28"/>
    </w:rPr>
  </w:style>
  <w:style w:type="character" w:customStyle="1" w:styleId="12">
    <w:name w:val="Строгий1"/>
    <w:basedOn w:val="13"/>
    <w:link w:val="111"/>
    <w:qFormat/>
    <w:rPr>
      <w:b/>
    </w:rPr>
  </w:style>
  <w:style w:type="character" w:customStyle="1" w:styleId="a3">
    <w:name w:val="Нижний колонтитул Знак"/>
    <w:basedOn w:val="1"/>
    <w:link w:val="a4"/>
    <w:qFormat/>
    <w:rPr>
      <w:sz w:val="24"/>
    </w:rPr>
  </w:style>
  <w:style w:type="character" w:customStyle="1" w:styleId="41">
    <w:name w:val="Оглавление 4 Знак"/>
    <w:link w:val="42"/>
    <w:qFormat/>
    <w:rPr>
      <w:rFonts w:ascii="XO Thames" w:hAnsi="XO Thames"/>
      <w:sz w:val="28"/>
    </w:rPr>
  </w:style>
  <w:style w:type="character" w:customStyle="1" w:styleId="ConsPlusNonformat">
    <w:name w:val="ConsPlusNonformat"/>
    <w:link w:val="ConsPlusNonformat1"/>
    <w:qFormat/>
    <w:rPr>
      <w:rFonts w:ascii="Courier New" w:hAnsi="Courier New"/>
    </w:rPr>
  </w:style>
  <w:style w:type="character" w:customStyle="1" w:styleId="Default">
    <w:name w:val="Default"/>
    <w:link w:val="Default1"/>
    <w:qFormat/>
    <w:rPr>
      <w:sz w:val="24"/>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13">
    <w:name w:val="Основной шрифт абзаца1"/>
    <w:link w:val="112"/>
    <w:qFormat/>
  </w:style>
  <w:style w:type="character" w:customStyle="1" w:styleId="Endnote">
    <w:name w:val="Endnote"/>
    <w:basedOn w:val="1"/>
    <w:link w:val="Endnote1"/>
    <w:qFormat/>
    <w:rPr>
      <w:sz w:val="20"/>
    </w:rPr>
  </w:style>
  <w:style w:type="character" w:customStyle="1" w:styleId="30">
    <w:name w:val="Заголовок 3 Знак"/>
    <w:link w:val="3"/>
    <w:qFormat/>
    <w:rPr>
      <w:rFonts w:ascii="XO Thames" w:hAnsi="XO Thames"/>
      <w:b/>
      <w:sz w:val="26"/>
    </w:rPr>
  </w:style>
  <w:style w:type="character" w:customStyle="1" w:styleId="14">
    <w:name w:val="Знак сноски1"/>
    <w:link w:val="113"/>
    <w:qFormat/>
    <w:rPr>
      <w:vertAlign w:val="superscript"/>
    </w:rPr>
  </w:style>
  <w:style w:type="character" w:customStyle="1" w:styleId="a5">
    <w:name w:val="Верхний колонтитул Знак"/>
    <w:basedOn w:val="1"/>
    <w:link w:val="a6"/>
    <w:qFormat/>
    <w:rPr>
      <w:sz w:val="24"/>
    </w:rPr>
  </w:style>
  <w:style w:type="character" w:customStyle="1" w:styleId="a7">
    <w:name w:val="Абзац списка Знак"/>
    <w:basedOn w:val="1"/>
    <w:link w:val="a8"/>
    <w:qFormat/>
    <w:rPr>
      <w:sz w:val="24"/>
    </w:rPr>
  </w:style>
  <w:style w:type="character" w:customStyle="1" w:styleId="infoinfo-item-text">
    <w:name w:val="info__info-item-text"/>
    <w:basedOn w:val="13"/>
    <w:link w:val="infoinfo-item-text1"/>
    <w:qFormat/>
  </w:style>
  <w:style w:type="character" w:customStyle="1" w:styleId="15">
    <w:name w:val="Знак концевой сноски1"/>
    <w:link w:val="114"/>
    <w:qFormat/>
    <w:rPr>
      <w:vertAlign w:val="superscript"/>
    </w:rPr>
  </w:style>
  <w:style w:type="character" w:customStyle="1" w:styleId="210">
    <w:name w:val="Основной текст 21"/>
    <w:basedOn w:val="1"/>
    <w:link w:val="211"/>
    <w:qFormat/>
    <w:rPr>
      <w:b/>
      <w:sz w:val="24"/>
    </w:rPr>
  </w:style>
  <w:style w:type="character" w:customStyle="1" w:styleId="31">
    <w:name w:val="Оглавление 3 Знак"/>
    <w:link w:val="32"/>
    <w:qFormat/>
    <w:rPr>
      <w:rFonts w:ascii="XO Thames" w:hAnsi="XO Thames"/>
      <w:sz w:val="28"/>
    </w:rPr>
  </w:style>
  <w:style w:type="character" w:customStyle="1" w:styleId="a9">
    <w:name w:val="Основной текст Знак"/>
    <w:basedOn w:val="1"/>
    <w:link w:val="aa"/>
    <w:qFormat/>
    <w:rPr>
      <w:sz w:val="22"/>
    </w:rPr>
  </w:style>
  <w:style w:type="character" w:customStyle="1" w:styleId="50">
    <w:name w:val="Заголовок 5 Знак"/>
    <w:link w:val="5"/>
    <w:qFormat/>
    <w:rPr>
      <w:rFonts w:ascii="XO Thames" w:hAnsi="XO Thames"/>
      <w:b/>
      <w:sz w:val="22"/>
    </w:rPr>
  </w:style>
  <w:style w:type="character" w:customStyle="1" w:styleId="11">
    <w:name w:val="Заголовок 1 Знак"/>
    <w:link w:val="10"/>
    <w:qFormat/>
    <w:rPr>
      <w:rFonts w:ascii="XO Thames" w:hAnsi="XO Thames"/>
      <w:b/>
      <w:sz w:val="32"/>
    </w:rPr>
  </w:style>
  <w:style w:type="character" w:customStyle="1" w:styleId="16">
    <w:name w:val="Знак Знак1"/>
    <w:link w:val="115"/>
    <w:qFormat/>
    <w:rPr>
      <w:sz w:val="22"/>
    </w:rPr>
  </w:style>
  <w:style w:type="character" w:styleId="ab">
    <w:name w:val="Hyperlink"/>
    <w:rPr>
      <w:color w:val="0000FF"/>
      <w:u w:val="single"/>
    </w:rPr>
  </w:style>
  <w:style w:type="character" w:customStyle="1" w:styleId="Footnote">
    <w:name w:val="Footnote"/>
    <w:basedOn w:val="1"/>
    <w:link w:val="Footnote1"/>
    <w:qFormat/>
    <w:rPr>
      <w:sz w:val="20"/>
    </w:rPr>
  </w:style>
  <w:style w:type="character" w:customStyle="1" w:styleId="17">
    <w:name w:val="Оглавление 1 Знак"/>
    <w:link w:val="18"/>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9">
    <w:name w:val="Оглавление 9 Знак"/>
    <w:link w:val="90"/>
    <w:qFormat/>
    <w:rPr>
      <w:rFonts w:ascii="XO Thames" w:hAnsi="XO Thames"/>
      <w:sz w:val="28"/>
    </w:rPr>
  </w:style>
  <w:style w:type="character" w:customStyle="1" w:styleId="19">
    <w:name w:val="Гиперссылка1"/>
    <w:link w:val="116"/>
    <w:qFormat/>
    <w:rPr>
      <w:color w:val="0000FF"/>
      <w:u w:val="single"/>
    </w:rPr>
  </w:style>
  <w:style w:type="character" w:customStyle="1" w:styleId="8">
    <w:name w:val="Оглавление 8 Знак"/>
    <w:link w:val="80"/>
    <w:qFormat/>
    <w:rPr>
      <w:rFonts w:ascii="XO Thames" w:hAnsi="XO Thames"/>
      <w:sz w:val="28"/>
    </w:rPr>
  </w:style>
  <w:style w:type="character" w:customStyle="1" w:styleId="1a">
    <w:name w:val="Абзац списка1"/>
    <w:basedOn w:val="1"/>
    <w:link w:val="117"/>
    <w:qFormat/>
    <w:rPr>
      <w:sz w:val="24"/>
    </w:rPr>
  </w:style>
  <w:style w:type="character" w:customStyle="1" w:styleId="HTML">
    <w:name w:val="Стандартный HTML Знак"/>
    <w:basedOn w:val="1"/>
    <w:link w:val="HTML0"/>
    <w:qFormat/>
    <w:rPr>
      <w:rFonts w:ascii="Courier New" w:hAnsi="Courier New"/>
      <w:sz w:val="20"/>
    </w:rPr>
  </w:style>
  <w:style w:type="character" w:customStyle="1" w:styleId="51">
    <w:name w:val="Оглавление 5 Знак"/>
    <w:link w:val="52"/>
    <w:qFormat/>
    <w:rPr>
      <w:rFonts w:ascii="XO Thames" w:hAnsi="XO Thames"/>
      <w:sz w:val="28"/>
    </w:rPr>
  </w:style>
  <w:style w:type="character" w:customStyle="1" w:styleId="28">
    <w:name w:val="Основной текст Знак28"/>
    <w:basedOn w:val="13"/>
    <w:link w:val="281"/>
    <w:qFormat/>
  </w:style>
  <w:style w:type="character" w:customStyle="1" w:styleId="ac">
    <w:name w:val="Знак Знак Знак"/>
    <w:basedOn w:val="1"/>
    <w:link w:val="1b"/>
    <w:qFormat/>
    <w:rPr>
      <w:rFonts w:ascii="Verdana" w:hAnsi="Verdana"/>
      <w:sz w:val="20"/>
    </w:rPr>
  </w:style>
  <w:style w:type="character" w:customStyle="1" w:styleId="ad">
    <w:name w:val="Метка подчеркнутая"/>
    <w:basedOn w:val="13"/>
    <w:link w:val="1c"/>
    <w:qFormat/>
    <w:rPr>
      <w:sz w:val="24"/>
      <w:u w:val="single"/>
    </w:rPr>
  </w:style>
  <w:style w:type="character" w:customStyle="1" w:styleId="ae">
    <w:name w:val="Подзаголовок Знак"/>
    <w:link w:val="af"/>
    <w:qFormat/>
    <w:rPr>
      <w:rFonts w:ascii="XO Thames" w:hAnsi="XO Thames"/>
      <w:i/>
      <w:sz w:val="24"/>
    </w:rPr>
  </w:style>
  <w:style w:type="character" w:customStyle="1" w:styleId="af0">
    <w:name w:val="Текст выноски Знак"/>
    <w:basedOn w:val="1"/>
    <w:link w:val="af1"/>
    <w:qFormat/>
    <w:rPr>
      <w:rFonts w:ascii="Tahoma" w:hAnsi="Tahoma"/>
      <w:sz w:val="16"/>
    </w:rPr>
  </w:style>
  <w:style w:type="character" w:customStyle="1" w:styleId="af2">
    <w:name w:val="Заголовок Знак"/>
    <w:link w:val="af3"/>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basedOn w:val="1"/>
    <w:link w:val="2"/>
    <w:qFormat/>
    <w:rPr>
      <w:rFonts w:ascii="Cambria" w:hAnsi="Cambria"/>
      <w:b/>
      <w:i/>
      <w:sz w:val="28"/>
    </w:rPr>
  </w:style>
  <w:style w:type="character" w:styleId="af4">
    <w:name w:val="annotation reference"/>
    <w:basedOn w:val="a0"/>
    <w:uiPriority w:val="99"/>
    <w:semiHidden/>
    <w:unhideWhenUsed/>
    <w:qFormat/>
    <w:rsid w:val="004A1396"/>
    <w:rPr>
      <w:sz w:val="16"/>
      <w:szCs w:val="16"/>
    </w:rPr>
  </w:style>
  <w:style w:type="character" w:customStyle="1" w:styleId="af5">
    <w:name w:val="Текст примечания Знак"/>
    <w:basedOn w:val="a0"/>
    <w:link w:val="af6"/>
    <w:uiPriority w:val="99"/>
    <w:semiHidden/>
    <w:qFormat/>
    <w:rsid w:val="004A1396"/>
  </w:style>
  <w:style w:type="character" w:customStyle="1" w:styleId="af7">
    <w:name w:val="Тема примечания Знак"/>
    <w:basedOn w:val="af5"/>
    <w:link w:val="af8"/>
    <w:uiPriority w:val="99"/>
    <w:semiHidden/>
    <w:qFormat/>
    <w:rsid w:val="004A1396"/>
    <w:rPr>
      <w:b/>
      <w:bCs/>
    </w:rPr>
  </w:style>
  <w:style w:type="character" w:styleId="af9">
    <w:name w:val="line number"/>
  </w:style>
  <w:style w:type="paragraph" w:styleId="af3">
    <w:name w:val="Title"/>
    <w:next w:val="aa"/>
    <w:link w:val="af2"/>
    <w:uiPriority w:val="10"/>
    <w:qFormat/>
    <w:pPr>
      <w:spacing w:before="567" w:after="567"/>
      <w:jc w:val="center"/>
    </w:pPr>
    <w:rPr>
      <w:rFonts w:ascii="XO Thames" w:hAnsi="XO Thames"/>
      <w:b/>
      <w:caps/>
      <w:sz w:val="40"/>
    </w:rPr>
  </w:style>
  <w:style w:type="paragraph" w:styleId="aa">
    <w:name w:val="Body Text"/>
    <w:basedOn w:val="a"/>
    <w:link w:val="a9"/>
    <w:pPr>
      <w:jc w:val="right"/>
    </w:pPr>
    <w:rPr>
      <w:sz w:val="22"/>
    </w:rPr>
  </w:style>
  <w:style w:type="paragraph" w:styleId="afa">
    <w:name w:val="List"/>
    <w:basedOn w:val="aa"/>
    <w:rPr>
      <w:rFonts w:cs="Noto Sans"/>
    </w:rPr>
  </w:style>
  <w:style w:type="paragraph" w:styleId="afb">
    <w:name w:val="caption"/>
    <w:basedOn w:val="a"/>
    <w:qFormat/>
    <w:pPr>
      <w:suppressLineNumbers/>
      <w:spacing w:before="120" w:after="120"/>
    </w:pPr>
    <w:rPr>
      <w:rFonts w:cs="Noto Sans"/>
      <w:i/>
      <w:iCs/>
      <w:szCs w:val="24"/>
    </w:rPr>
  </w:style>
  <w:style w:type="paragraph" w:styleId="afc">
    <w:name w:val="index heading"/>
    <w:basedOn w:val="a"/>
    <w:qFormat/>
    <w:pPr>
      <w:suppressLineNumbers/>
    </w:pPr>
    <w:rPr>
      <w:rFonts w:cs="Noto Sans"/>
    </w:rPr>
  </w:style>
  <w:style w:type="paragraph" w:customStyle="1" w:styleId="user">
    <w:name w:val="Заголовок (user)"/>
    <w:basedOn w:val="a"/>
    <w:next w:val="aa"/>
    <w:qFormat/>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rPr>
      <w:rFonts w:cs="Noto Sans"/>
    </w:rPr>
  </w:style>
  <w:style w:type="paragraph" w:styleId="22">
    <w:name w:val="toc 2"/>
    <w:next w:val="a"/>
    <w:link w:val="21"/>
    <w:uiPriority w:val="39"/>
    <w:pPr>
      <w:ind w:left="200"/>
    </w:pPr>
    <w:rPr>
      <w:rFonts w:ascii="XO Thames" w:hAnsi="XO Thames"/>
      <w:sz w:val="28"/>
    </w:rPr>
  </w:style>
  <w:style w:type="paragraph" w:customStyle="1" w:styleId="111">
    <w:name w:val="Строгий11"/>
    <w:basedOn w:val="112"/>
    <w:link w:val="12"/>
    <w:qFormat/>
    <w:rPr>
      <w:b/>
    </w:rPr>
  </w:style>
  <w:style w:type="paragraph" w:customStyle="1" w:styleId="112">
    <w:name w:val="Основной шрифт абзаца11"/>
    <w:link w:val="13"/>
    <w:qFormat/>
  </w:style>
  <w:style w:type="paragraph" w:customStyle="1" w:styleId="afd">
    <w:name w:val="Колонтитулы"/>
    <w:basedOn w:val="a"/>
    <w:qFormat/>
  </w:style>
  <w:style w:type="paragraph" w:customStyle="1" w:styleId="HeaderandFooter1">
    <w:name w:val="Header and Footer1"/>
    <w:basedOn w:val="a"/>
    <w:qFormat/>
  </w:style>
  <w:style w:type="paragraph" w:styleId="a4">
    <w:name w:val="footer"/>
    <w:basedOn w:val="a"/>
    <w:link w:val="a3"/>
    <w:pPr>
      <w:tabs>
        <w:tab w:val="center" w:pos="4677"/>
        <w:tab w:val="right" w:pos="9355"/>
      </w:tabs>
    </w:pPr>
  </w:style>
  <w:style w:type="paragraph" w:styleId="42">
    <w:name w:val="toc 4"/>
    <w:next w:val="a"/>
    <w:link w:val="41"/>
    <w:uiPriority w:val="39"/>
    <w:pPr>
      <w:ind w:left="600"/>
    </w:pPr>
    <w:rPr>
      <w:rFonts w:ascii="XO Thames" w:hAnsi="XO Thames"/>
      <w:sz w:val="28"/>
    </w:rPr>
  </w:style>
  <w:style w:type="paragraph" w:customStyle="1" w:styleId="ConsPlusNonformat1">
    <w:name w:val="ConsPlusNonformat1"/>
    <w:link w:val="ConsPlusNonformat"/>
    <w:qFormat/>
    <w:rPr>
      <w:rFonts w:ascii="Courier New" w:hAnsi="Courier New"/>
    </w:rPr>
  </w:style>
  <w:style w:type="paragraph" w:customStyle="1" w:styleId="Default1">
    <w:name w:val="Default1"/>
    <w:link w:val="Default"/>
    <w:qFormat/>
    <w:rPr>
      <w:sz w:val="24"/>
    </w:rPr>
  </w:style>
  <w:style w:type="paragraph" w:styleId="60">
    <w:name w:val="toc 6"/>
    <w:next w:val="a"/>
    <w:link w:val="6"/>
    <w:uiPriority w:val="39"/>
    <w:pPr>
      <w:ind w:left="1000"/>
    </w:pPr>
    <w:rPr>
      <w:rFonts w:ascii="XO Thames" w:hAnsi="XO Thames"/>
      <w:sz w:val="28"/>
    </w:rPr>
  </w:style>
  <w:style w:type="paragraph" w:styleId="70">
    <w:name w:val="toc 7"/>
    <w:next w:val="a"/>
    <w:link w:val="7"/>
    <w:uiPriority w:val="39"/>
    <w:pPr>
      <w:ind w:left="1200"/>
    </w:pPr>
    <w:rPr>
      <w:rFonts w:ascii="XO Thames" w:hAnsi="XO Thames"/>
      <w:sz w:val="28"/>
    </w:rPr>
  </w:style>
  <w:style w:type="paragraph" w:customStyle="1" w:styleId="Endnote1">
    <w:name w:val="Endnote1"/>
    <w:basedOn w:val="a"/>
    <w:link w:val="Endnote"/>
    <w:qFormat/>
    <w:rPr>
      <w:sz w:val="20"/>
    </w:rPr>
  </w:style>
  <w:style w:type="paragraph" w:customStyle="1" w:styleId="113">
    <w:name w:val="Знак сноски11"/>
    <w:link w:val="14"/>
    <w:qFormat/>
    <w:rPr>
      <w:vertAlign w:val="superscript"/>
    </w:rPr>
  </w:style>
  <w:style w:type="paragraph" w:styleId="a6">
    <w:name w:val="header"/>
    <w:basedOn w:val="a"/>
    <w:link w:val="a5"/>
    <w:pPr>
      <w:tabs>
        <w:tab w:val="center" w:pos="4677"/>
        <w:tab w:val="right" w:pos="9355"/>
      </w:tabs>
    </w:pPr>
  </w:style>
  <w:style w:type="paragraph" w:styleId="a8">
    <w:name w:val="List Paragraph"/>
    <w:basedOn w:val="a"/>
    <w:link w:val="a7"/>
    <w:qFormat/>
    <w:pPr>
      <w:ind w:left="720"/>
      <w:contextualSpacing/>
    </w:pPr>
  </w:style>
  <w:style w:type="paragraph" w:customStyle="1" w:styleId="infoinfo-item-text1">
    <w:name w:val="info__info-item-text1"/>
    <w:basedOn w:val="112"/>
    <w:link w:val="infoinfo-item-text"/>
    <w:qFormat/>
  </w:style>
  <w:style w:type="paragraph" w:customStyle="1" w:styleId="114">
    <w:name w:val="Знак концевой сноски11"/>
    <w:link w:val="15"/>
    <w:qFormat/>
    <w:rPr>
      <w:vertAlign w:val="superscript"/>
    </w:rPr>
  </w:style>
  <w:style w:type="paragraph" w:customStyle="1" w:styleId="211">
    <w:name w:val="Основной текст 211"/>
    <w:basedOn w:val="a"/>
    <w:link w:val="210"/>
    <w:qFormat/>
    <w:pPr>
      <w:ind w:firstLine="720"/>
      <w:jc w:val="center"/>
    </w:pPr>
    <w:rPr>
      <w:b/>
    </w:rPr>
  </w:style>
  <w:style w:type="paragraph" w:styleId="32">
    <w:name w:val="toc 3"/>
    <w:next w:val="a"/>
    <w:link w:val="31"/>
    <w:uiPriority w:val="39"/>
    <w:pPr>
      <w:ind w:left="400"/>
    </w:pPr>
    <w:rPr>
      <w:rFonts w:ascii="XO Thames" w:hAnsi="XO Thames"/>
      <w:sz w:val="28"/>
    </w:rPr>
  </w:style>
  <w:style w:type="paragraph" w:customStyle="1" w:styleId="115">
    <w:name w:val="Знак Знак11"/>
    <w:link w:val="16"/>
    <w:qFormat/>
    <w:rPr>
      <w:sz w:val="22"/>
    </w:rPr>
  </w:style>
  <w:style w:type="paragraph" w:customStyle="1" w:styleId="116">
    <w:name w:val="Гиперссылка11"/>
    <w:link w:val="19"/>
    <w:qFormat/>
    <w:rPr>
      <w:color w:val="0000FF"/>
      <w:u w:val="single"/>
    </w:rPr>
  </w:style>
  <w:style w:type="paragraph" w:customStyle="1" w:styleId="Footnote1">
    <w:name w:val="Footnote1"/>
    <w:basedOn w:val="a"/>
    <w:link w:val="Footnote"/>
    <w:qFormat/>
    <w:rPr>
      <w:sz w:val="20"/>
    </w:rPr>
  </w:style>
  <w:style w:type="paragraph" w:styleId="18">
    <w:name w:val="toc 1"/>
    <w:next w:val="a"/>
    <w:link w:val="17"/>
    <w:uiPriority w:val="39"/>
    <w:rPr>
      <w:rFonts w:ascii="XO Thames" w:hAnsi="XO Thames"/>
      <w:b/>
      <w:sz w:val="28"/>
    </w:rPr>
  </w:style>
  <w:style w:type="paragraph" w:styleId="90">
    <w:name w:val="toc 9"/>
    <w:next w:val="a"/>
    <w:link w:val="9"/>
    <w:uiPriority w:val="39"/>
    <w:pPr>
      <w:ind w:left="1600"/>
    </w:pPr>
    <w:rPr>
      <w:rFonts w:ascii="XO Thames" w:hAnsi="XO Thames"/>
      <w:sz w:val="28"/>
    </w:rPr>
  </w:style>
  <w:style w:type="paragraph" w:styleId="80">
    <w:name w:val="toc 8"/>
    <w:next w:val="a"/>
    <w:link w:val="8"/>
    <w:uiPriority w:val="39"/>
    <w:pPr>
      <w:ind w:left="1400"/>
    </w:pPr>
    <w:rPr>
      <w:rFonts w:ascii="XO Thames" w:hAnsi="XO Thames"/>
      <w:sz w:val="28"/>
    </w:rPr>
  </w:style>
  <w:style w:type="paragraph" w:customStyle="1" w:styleId="117">
    <w:name w:val="Абзац списка11"/>
    <w:basedOn w:val="a"/>
    <w:link w:val="1a"/>
    <w:qFormat/>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10">
    <w:name w:val="Обычный11"/>
    <w:link w:val="1"/>
    <w:qFormat/>
    <w:rPr>
      <w:sz w:val="24"/>
    </w:rPr>
  </w:style>
  <w:style w:type="paragraph" w:styleId="52">
    <w:name w:val="toc 5"/>
    <w:next w:val="a"/>
    <w:link w:val="51"/>
    <w:uiPriority w:val="39"/>
    <w:pPr>
      <w:ind w:left="800"/>
    </w:pPr>
    <w:rPr>
      <w:rFonts w:ascii="XO Thames" w:hAnsi="XO Thames"/>
      <w:sz w:val="28"/>
    </w:rPr>
  </w:style>
  <w:style w:type="paragraph" w:customStyle="1" w:styleId="281">
    <w:name w:val="Основной текст Знак281"/>
    <w:basedOn w:val="112"/>
    <w:link w:val="28"/>
    <w:qFormat/>
  </w:style>
  <w:style w:type="paragraph" w:customStyle="1" w:styleId="1b">
    <w:name w:val="Знак Знак Знак1"/>
    <w:basedOn w:val="a"/>
    <w:link w:val="ac"/>
    <w:qFormat/>
    <w:pPr>
      <w:spacing w:after="160" w:line="240" w:lineRule="exact"/>
    </w:pPr>
    <w:rPr>
      <w:rFonts w:ascii="Verdana" w:hAnsi="Verdana"/>
      <w:sz w:val="20"/>
    </w:rPr>
  </w:style>
  <w:style w:type="paragraph" w:customStyle="1" w:styleId="1c">
    <w:name w:val="Метка подчеркнутая1"/>
    <w:basedOn w:val="112"/>
    <w:link w:val="ad"/>
    <w:qFormat/>
    <w:rPr>
      <w:sz w:val="24"/>
      <w:u w:val="single"/>
    </w:rPr>
  </w:style>
  <w:style w:type="paragraph" w:styleId="af">
    <w:name w:val="Subtitle"/>
    <w:next w:val="a"/>
    <w:link w:val="ae"/>
    <w:uiPriority w:val="11"/>
    <w:qFormat/>
    <w:pPr>
      <w:jc w:val="both"/>
    </w:pPr>
    <w:rPr>
      <w:rFonts w:ascii="XO Thames" w:hAnsi="XO Thames"/>
      <w:i/>
      <w:sz w:val="24"/>
    </w:rPr>
  </w:style>
  <w:style w:type="paragraph" w:styleId="af1">
    <w:name w:val="Balloon Text"/>
    <w:basedOn w:val="a"/>
    <w:link w:val="af0"/>
    <w:qFormat/>
    <w:rPr>
      <w:rFonts w:ascii="Tahoma" w:hAnsi="Tahoma"/>
      <w:sz w:val="16"/>
    </w:rPr>
  </w:style>
  <w:style w:type="paragraph" w:styleId="af6">
    <w:name w:val="annotation text"/>
    <w:basedOn w:val="a"/>
    <w:link w:val="af5"/>
    <w:uiPriority w:val="99"/>
    <w:semiHidden/>
    <w:unhideWhenUsed/>
    <w:rsid w:val="004A1396"/>
    <w:rPr>
      <w:sz w:val="20"/>
    </w:rPr>
  </w:style>
  <w:style w:type="paragraph" w:styleId="af8">
    <w:name w:val="annotation subject"/>
    <w:basedOn w:val="af6"/>
    <w:next w:val="af6"/>
    <w:link w:val="af7"/>
    <w:uiPriority w:val="99"/>
    <w:semiHidden/>
    <w:unhideWhenUsed/>
    <w:qFormat/>
    <w:rsid w:val="004A1396"/>
    <w:rPr>
      <w:b/>
      <w:bCs/>
    </w:rPr>
  </w:style>
  <w:style w:type="paragraph" w:styleId="afe">
    <w:name w:val="Revision"/>
    <w:uiPriority w:val="99"/>
    <w:semiHidden/>
    <w:qFormat/>
    <w:rsid w:val="009C2192"/>
    <w:rPr>
      <w:sz w:val="24"/>
    </w:rPr>
  </w:style>
  <w:style w:type="numbering" w:customStyle="1" w:styleId="aff">
    <w:name w:val="Без списка"/>
    <w:uiPriority w:val="99"/>
    <w:semiHidden/>
    <w:unhideWhenUsed/>
    <w:qFormat/>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1928</Words>
  <Characters>10992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 Иван Александрович</dc:creator>
  <dc:description/>
  <cp:lastModifiedBy>Климов Иван Александрович</cp:lastModifiedBy>
  <cp:revision>7</cp:revision>
  <cp:lastPrinted>2026-05-22T13:38:00Z</cp:lastPrinted>
  <dcterms:created xsi:type="dcterms:W3CDTF">2026-05-13T08:43:00Z</dcterms:created>
  <dcterms:modified xsi:type="dcterms:W3CDTF">2026-05-22T13:38:00Z</dcterms:modified>
  <dc:language>ru-RU</dc:language>
</cp:coreProperties>
</file>