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36" w:rsidRDefault="00B60B36">
      <w:pPr>
        <w:keepNext/>
        <w:keepLines/>
        <w:jc w:val="right"/>
        <w:rPr>
          <w:b/>
          <w:bCs/>
          <w:color w:val="FF0000"/>
          <w:sz w:val="26"/>
          <w:szCs w:val="26"/>
          <w:lang w:val="en-US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  <w:lang w:val="en-US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B60B36" w:rsidRDefault="00B60B36">
      <w:pPr>
        <w:keepNext/>
        <w:keepLines/>
        <w:rPr>
          <w:sz w:val="26"/>
          <w:szCs w:val="26"/>
        </w:rPr>
      </w:pPr>
    </w:p>
    <w:p w:rsidR="00D76A59" w:rsidRDefault="00D76A5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</w:t>
      </w:r>
    </w:p>
    <w:p w:rsidR="00B60B36" w:rsidRDefault="00D76A5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к лоту № </w:t>
      </w:r>
      <w:r w:rsidRPr="00D76A59">
        <w:rPr>
          <w:rFonts w:eastAsia="Calibri"/>
          <w:b/>
          <w:sz w:val="26"/>
          <w:szCs w:val="26"/>
        </w:rPr>
        <w:t>132501-ЭКСП ДИТ-2026-ЯЭ</w:t>
      </w:r>
    </w:p>
    <w:p w:rsidR="00B60B36" w:rsidRPr="00D76A59" w:rsidRDefault="00D76A59">
      <w:pPr>
        <w:widowControl w:val="0"/>
        <w:tabs>
          <w:tab w:val="left" w:pos="426"/>
        </w:tabs>
        <w:spacing w:before="120" w:after="120"/>
        <w:jc w:val="center"/>
        <w:rPr>
          <w:b/>
        </w:rPr>
      </w:pPr>
      <w:r w:rsidRPr="00D76A59">
        <w:rPr>
          <w:rFonts w:eastAsia="Calibri"/>
          <w:b/>
          <w:sz w:val="26"/>
          <w:szCs w:val="26"/>
        </w:rPr>
        <w:t>«26.20.16.110. Приобретение периферийных устройств для вычислительной техники»</w:t>
      </w:r>
    </w:p>
    <w:p w:rsidR="00B60B36" w:rsidRPr="00D76A59" w:rsidRDefault="00B60B36">
      <w:pPr>
        <w:keepNext/>
        <w:keepLines/>
        <w:jc w:val="center"/>
        <w:rPr>
          <w:rFonts w:eastAsia="Calibri"/>
          <w:b/>
          <w:i/>
          <w:color w:val="FF0000"/>
          <w:sz w:val="26"/>
          <w:szCs w:val="26"/>
        </w:rPr>
      </w:pPr>
    </w:p>
    <w:p w:rsidR="00B60B36" w:rsidRDefault="00B60B36">
      <w:pPr>
        <w:keepNext/>
        <w:keepLines/>
        <w:jc w:val="both"/>
        <w:rPr>
          <w:color w:val="FF0000"/>
          <w:sz w:val="26"/>
          <w:szCs w:val="26"/>
        </w:rPr>
      </w:pPr>
    </w:p>
    <w:p w:rsidR="00B60B36" w:rsidRDefault="00D76A59">
      <w:pPr>
        <w:rPr>
          <w:color w:val="FF0000"/>
          <w:sz w:val="26"/>
          <w:szCs w:val="26"/>
        </w:rPr>
      </w:pPr>
      <w:r>
        <w:br w:type="page"/>
      </w:r>
    </w:p>
    <w:p w:rsidR="00B60B36" w:rsidRPr="00D76A59" w:rsidRDefault="00D76A59" w:rsidP="00D76A59">
      <w:pPr>
        <w:pStyle w:val="1"/>
        <w:numPr>
          <w:ilvl w:val="0"/>
          <w:numId w:val="3"/>
        </w:numPr>
        <w:ind w:left="284" w:hanging="284"/>
        <w:jc w:val="center"/>
        <w:rPr>
          <w:caps/>
        </w:rPr>
      </w:pPr>
      <w:bookmarkStart w:id="0" w:name="__RefHeading___Toc12895_2794671783"/>
      <w:bookmarkStart w:id="1" w:name="_Toc51339692"/>
      <w:bookmarkStart w:id="2" w:name="_Toc147757428"/>
      <w:bookmarkStart w:id="3" w:name="_Toc176607660"/>
      <w:bookmarkStart w:id="4" w:name="_Toc146292666"/>
      <w:bookmarkEnd w:id="0"/>
      <w:r w:rsidRPr="00D76A59">
        <w:lastRenderedPageBreak/>
        <w:t>Общие сведения</w:t>
      </w:r>
      <w:bookmarkEnd w:id="1"/>
      <w:bookmarkEnd w:id="2"/>
      <w:bookmarkEnd w:id="3"/>
      <w:bookmarkEnd w:id="4"/>
    </w:p>
    <w:p w:rsidR="00B60B36" w:rsidRDefault="00D76A59" w:rsidP="00D76A59">
      <w:pPr>
        <w:pStyle w:val="4"/>
        <w:numPr>
          <w:ilvl w:val="1"/>
          <w:numId w:val="3"/>
        </w:numPr>
      </w:pPr>
      <w:bookmarkStart w:id="5" w:name="__RefHeading___Toc12897_2794671783"/>
      <w:bookmarkStart w:id="6" w:name="_Toc147757429"/>
      <w:bookmarkStart w:id="7" w:name="_Toc176607661"/>
      <w:bookmarkStart w:id="8" w:name="_Toc146292667"/>
      <w:bookmarkStart w:id="9" w:name="_Toc46743505"/>
      <w:bookmarkEnd w:id="5"/>
      <w:r>
        <w:t>Обозначения и сокращения</w:t>
      </w:r>
      <w:bookmarkEnd w:id="6"/>
      <w:bookmarkEnd w:id="7"/>
      <w:bookmarkEnd w:id="8"/>
      <w:bookmarkEnd w:id="9"/>
    </w:p>
    <w:p w:rsidR="00B60B36" w:rsidRDefault="00B60B36">
      <w:pPr>
        <w:rPr>
          <w:bCs/>
          <w:iCs/>
          <w:sz w:val="26"/>
          <w:szCs w:val="2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55"/>
        <w:gridCol w:w="8292"/>
      </w:tblGrid>
      <w:tr w:rsidR="00B60B36" w:rsidTr="00D76A59">
        <w:trPr>
          <w:trHeight w:val="52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Термин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Определение</w:t>
            </w:r>
          </w:p>
        </w:tc>
      </w:tr>
      <w:tr w:rsidR="00B60B36" w:rsidTr="00D76A59">
        <w:trPr>
          <w:trHeight w:val="52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«Якутскэнерго»</w:t>
            </w:r>
          </w:p>
        </w:tc>
      </w:tr>
      <w:tr w:rsidR="00B60B36">
        <w:trPr>
          <w:trHeight w:val="77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торгов, получивший право заключения договора поставки</w:t>
            </w:r>
          </w:p>
        </w:tc>
      </w:tr>
      <w:tr w:rsidR="00B60B36" w:rsidTr="00D76A59">
        <w:trPr>
          <w:trHeight w:val="52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</w:pPr>
            <w:r>
              <w:rPr>
                <w:rFonts w:ascii="Times New Roman" w:hAnsi="Times New Roman"/>
              </w:rPr>
              <w:t>ТР ТС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</w:pPr>
            <w:r>
              <w:rPr>
                <w:rFonts w:ascii="Times New Roman" w:hAnsi="Times New Roman"/>
              </w:rPr>
              <w:t>Технический регламент Таможенного союза</w:t>
            </w:r>
          </w:p>
        </w:tc>
      </w:tr>
      <w:tr w:rsidR="00B60B36" w:rsidTr="00D76A59">
        <w:trPr>
          <w:trHeight w:val="52"/>
          <w:jc w:val="center"/>
        </w:trPr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ТТ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Технические требования</w:t>
            </w:r>
          </w:p>
        </w:tc>
      </w:tr>
      <w:tr w:rsidR="00B60B36" w:rsidTr="00D76A59">
        <w:trPr>
          <w:trHeight w:val="52"/>
          <w:jc w:val="center"/>
        </w:trPr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</w:t>
            </w:r>
          </w:p>
        </w:tc>
        <w:tc>
          <w:tcPr>
            <w:tcW w:w="7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pStyle w:val="Standard"/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Вычислительная техника</w:t>
            </w:r>
          </w:p>
        </w:tc>
      </w:tr>
    </w:tbl>
    <w:p w:rsidR="00B60B36" w:rsidRDefault="00B60B36">
      <w:pPr>
        <w:keepNext/>
        <w:keepLines/>
        <w:jc w:val="both"/>
        <w:rPr>
          <w:color w:val="FF0000"/>
          <w:sz w:val="24"/>
          <w:szCs w:val="24"/>
        </w:rPr>
      </w:pPr>
    </w:p>
    <w:p w:rsidR="00B60B36" w:rsidRPr="00D76A59" w:rsidRDefault="00D76A59" w:rsidP="00D76A59">
      <w:pPr>
        <w:pStyle w:val="aff0"/>
        <w:keepNext/>
        <w:keepLines/>
        <w:numPr>
          <w:ilvl w:val="1"/>
          <w:numId w:val="3"/>
        </w:numPr>
        <w:rPr>
          <w:b/>
        </w:rPr>
      </w:pPr>
      <w:bookmarkStart w:id="10" w:name="__RefHeading___Toc12899_2794671783"/>
      <w:bookmarkStart w:id="11" w:name="_Toc147757430"/>
      <w:bookmarkStart w:id="12" w:name="_Toc176607662"/>
      <w:bookmarkStart w:id="13" w:name="_Toc46743506"/>
      <w:bookmarkStart w:id="14" w:name="_Toc146292668"/>
      <w:bookmarkEnd w:id="10"/>
      <w:r w:rsidRPr="00D76A59">
        <w:rPr>
          <w:b/>
        </w:rPr>
        <w:t>Наименование закупаемой продукции</w:t>
      </w:r>
      <w:bookmarkEnd w:id="11"/>
      <w:bookmarkEnd w:id="12"/>
      <w:bookmarkEnd w:id="13"/>
      <w:bookmarkEnd w:id="14"/>
    </w:p>
    <w:p w:rsidR="00B60B36" w:rsidRDefault="00D76A59">
      <w:pPr>
        <w:pStyle w:val="Standard"/>
        <w:spacing w:before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Приобретение периферийных устройств для вычислительной техники</w:t>
      </w:r>
      <w:bookmarkStart w:id="15" w:name="_Toc146292669"/>
    </w:p>
    <w:p w:rsidR="00B60B36" w:rsidRDefault="00D76A59" w:rsidP="00D76A59">
      <w:pPr>
        <w:pStyle w:val="4"/>
        <w:numPr>
          <w:ilvl w:val="1"/>
          <w:numId w:val="3"/>
        </w:numPr>
      </w:pPr>
      <w:bookmarkStart w:id="16" w:name="__RefHeading___Toc12901_2794671783"/>
      <w:bookmarkStart w:id="17" w:name="_Toc46743507"/>
      <w:bookmarkStart w:id="18" w:name="_Toc176607663"/>
      <w:bookmarkStart w:id="19" w:name="_Toc147757431"/>
      <w:bookmarkEnd w:id="16"/>
      <w:r>
        <w:t xml:space="preserve">Цель </w:t>
      </w:r>
      <w:bookmarkEnd w:id="17"/>
      <w:r>
        <w:t>использования закупаемой продукции</w:t>
      </w:r>
      <w:bookmarkEnd w:id="15"/>
      <w:bookmarkEnd w:id="18"/>
      <w:bookmarkEnd w:id="19"/>
    </w:p>
    <w:p w:rsidR="00B60B36" w:rsidRDefault="00D76A59">
      <w:pPr>
        <w:pStyle w:val="Standard"/>
        <w:spacing w:before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Целью проекта является обеспечение безаварийной и надежной работы ИТ инфраструктуры рабочих мест посредством своевременного обеспечения запчастями, расходными материалами и средствами ИТ оборудования, для поддержания безаварийной и надежной работы ИТ инфраструктуры.</w:t>
      </w:r>
    </w:p>
    <w:p w:rsidR="00B60B36" w:rsidRDefault="00D76A59" w:rsidP="00D76A59">
      <w:pPr>
        <w:pStyle w:val="1"/>
        <w:numPr>
          <w:ilvl w:val="0"/>
          <w:numId w:val="3"/>
        </w:numPr>
        <w:ind w:left="0" w:firstLine="426"/>
        <w:jc w:val="center"/>
        <w:rPr>
          <w:caps/>
          <w:lang w:val="ru-RU"/>
        </w:rPr>
      </w:pPr>
      <w:bookmarkStart w:id="20" w:name="__RefHeading___Toc12903_2794671783"/>
      <w:bookmarkStart w:id="21" w:name="_Toc51339693"/>
      <w:bookmarkStart w:id="22" w:name="_Toc146292670"/>
      <w:bookmarkStart w:id="23" w:name="_Toc147757432"/>
      <w:bookmarkStart w:id="24" w:name="_Toc176607664"/>
      <w:bookmarkEnd w:id="20"/>
      <w:r>
        <w:t>Требования к продукции</w:t>
      </w:r>
      <w:bookmarkEnd w:id="21"/>
      <w:bookmarkEnd w:id="22"/>
      <w:bookmarkEnd w:id="23"/>
      <w:bookmarkEnd w:id="24"/>
    </w:p>
    <w:p w:rsidR="00B60B36" w:rsidRDefault="00D76A59" w:rsidP="00D76A59">
      <w:pPr>
        <w:pStyle w:val="4"/>
        <w:numPr>
          <w:ilvl w:val="1"/>
          <w:numId w:val="3"/>
        </w:numPr>
      </w:pPr>
      <w:bookmarkStart w:id="25" w:name="__RefHeading___Toc12905_2794671783"/>
      <w:bookmarkStart w:id="26" w:name="_Toc147757433"/>
      <w:bookmarkStart w:id="27" w:name="_Toc176607665"/>
      <w:bookmarkStart w:id="28" w:name="_Toc146292671"/>
      <w:bookmarkEnd w:id="2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  <w:bookmarkEnd w:id="28"/>
    </w:p>
    <w:p w:rsidR="00B60B36" w:rsidRDefault="00D76A59" w:rsidP="00D76A59">
      <w:pPr>
        <w:pStyle w:val="30"/>
        <w:ind w:left="709" w:hanging="709"/>
      </w:pPr>
      <w:bookmarkStart w:id="29" w:name="__RefHeading___Toc12907_2794671783"/>
      <w:bookmarkStart w:id="30" w:name="_Toc147757434"/>
      <w:bookmarkStart w:id="31" w:name="_Toc176607666"/>
      <w:bookmarkStart w:id="32" w:name="_Toc146292672"/>
      <w:bookmarkEnd w:id="29"/>
      <w:r>
        <w:t>Перечень и объем закупаемой продукции</w:t>
      </w:r>
      <w:bookmarkEnd w:id="30"/>
      <w:bookmarkEnd w:id="31"/>
      <w:bookmarkEnd w:id="32"/>
    </w:p>
    <w:p w:rsidR="00B60B36" w:rsidRPr="00D76A59" w:rsidRDefault="00D76A59" w:rsidP="00D76A59">
      <w:pPr>
        <w:pStyle w:val="Standard"/>
        <w:spacing w:before="120"/>
        <w:contextualSpacing/>
        <w:jc w:val="right"/>
        <w:rPr>
          <w:rFonts w:ascii="Times New Roman" w:hAnsi="Times New Roman"/>
          <w:i/>
        </w:rPr>
      </w:pPr>
      <w:bookmarkStart w:id="33" w:name="__RefHeading___Toc12909_2794671783"/>
      <w:bookmarkStart w:id="34" w:name="_Toc51339695"/>
      <w:bookmarkStart w:id="35" w:name="_Toc176607667"/>
      <w:bookmarkStart w:id="36" w:name="_Toc146292673"/>
      <w:bookmarkStart w:id="37" w:name="_Toc147757435"/>
      <w:bookmarkEnd w:id="33"/>
      <w:r w:rsidRPr="00D76A59">
        <w:rPr>
          <w:rFonts w:ascii="Times New Roman" w:hAnsi="Times New Roman"/>
          <w:i/>
        </w:rPr>
        <w:t xml:space="preserve">Таблица 1.1 Перечень </w:t>
      </w:r>
      <w:bookmarkEnd w:id="34"/>
      <w:r w:rsidRPr="00D76A59">
        <w:rPr>
          <w:rFonts w:ascii="Times New Roman" w:hAnsi="Times New Roman"/>
          <w:i/>
        </w:rPr>
        <w:t>и объем закупаемой продукции</w:t>
      </w:r>
      <w:bookmarkEnd w:id="35"/>
      <w:bookmarkEnd w:id="36"/>
      <w:bookmarkEnd w:id="37"/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1134"/>
        <w:gridCol w:w="993"/>
        <w:gridCol w:w="1494"/>
        <w:gridCol w:w="3609"/>
      </w:tblGrid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. </w:t>
            </w:r>
            <w:r w:rsidRPr="00D76A59">
              <w:rPr>
                <w:sz w:val="24"/>
                <w:szCs w:val="24"/>
              </w:rPr>
              <w:t>изм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-во.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sz w:val="24"/>
                <w:szCs w:val="24"/>
              </w:rPr>
              <w:t>ОКПД2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>
            <w:pPr>
              <w:pStyle w:val="aff0"/>
              <w:widowControl w:val="0"/>
              <w:ind w:left="36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Партия № 1 (ИД)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Партия № 2 (ЯГРЭС1)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D76A5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Партия № 3 (ЯГРЭС2)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Партия № 4 (ЯТЭЦ)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Партия № 5 (ЦЭС)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Партия № 6 (ЦРЭС ЦЭС)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194A8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194A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A" w:rsidRDefault="00194A8A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60B36" w:rsidRPr="00D76A59" w:rsidRDefault="00D76A59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lastRenderedPageBreak/>
              <w:t>Партия № 7 (ЗЭС)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A" w:rsidRDefault="00194A8A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lastRenderedPageBreak/>
              <w:t>-//-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A" w:rsidRDefault="00194A8A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A" w:rsidRDefault="00194A8A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lastRenderedPageBreak/>
              <w:t>-//-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8A" w:rsidRDefault="00194A8A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lastRenderedPageBreak/>
              <w:t>-//-</w:t>
            </w:r>
          </w:p>
        </w:tc>
      </w:tr>
      <w:tr w:rsidR="00B60B36" w:rsidRPr="00D76A59" w:rsidTr="00194A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194A8A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B60B36" w:rsidP="00D76A59">
            <w:pPr>
              <w:pStyle w:val="aff0"/>
              <w:widowControl w:val="0"/>
              <w:ind w:left="360"/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Всего (Партии №1-7)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6A59"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B60B36" w:rsidRPr="00D76A59" w:rsidTr="00D76A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pStyle w:val="affff6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6A59">
              <w:rPr>
                <w:i/>
                <w:iCs/>
                <w:color w:val="000000"/>
                <w:sz w:val="24"/>
                <w:szCs w:val="24"/>
              </w:rPr>
              <w:t>26.20.16.110</w:t>
            </w:r>
          </w:p>
        </w:tc>
        <w:tc>
          <w:tcPr>
            <w:tcW w:w="3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>
            <w:pPr>
              <w:pStyle w:val="affff6"/>
              <w:rPr>
                <w:i/>
                <w:sz w:val="24"/>
                <w:szCs w:val="24"/>
              </w:rPr>
            </w:pPr>
            <w:r w:rsidRPr="00D76A59">
              <w:rPr>
                <w:i/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</w:tbl>
    <w:p w:rsidR="00B60B36" w:rsidRDefault="00B60B36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B60B36" w:rsidRDefault="00D76A59" w:rsidP="00D76A59">
      <w:pPr>
        <w:pStyle w:val="30"/>
        <w:ind w:left="709" w:hanging="709"/>
      </w:pPr>
      <w:bookmarkStart w:id="38" w:name="__RefHeading___Toc12911_2794671783"/>
      <w:bookmarkStart w:id="39" w:name="_Toc51339696"/>
      <w:bookmarkStart w:id="40" w:name="_Toc176607668"/>
      <w:bookmarkStart w:id="41" w:name="_Toc146292674"/>
      <w:bookmarkStart w:id="42" w:name="_Toc147757436"/>
      <w:bookmarkEnd w:id="38"/>
      <w:r>
        <w:t xml:space="preserve">Требования </w:t>
      </w:r>
      <w:bookmarkEnd w:id="39"/>
      <w:r>
        <w:t>к срокам поставки продукции</w:t>
      </w:r>
      <w:bookmarkEnd w:id="40"/>
      <w:bookmarkEnd w:id="41"/>
      <w:bookmarkEnd w:id="42"/>
    </w:p>
    <w:p w:rsidR="00B60B36" w:rsidRPr="00D76A59" w:rsidRDefault="00D76A59" w:rsidP="00D76A59">
      <w:pPr>
        <w:pStyle w:val="30"/>
        <w:numPr>
          <w:ilvl w:val="0"/>
          <w:numId w:val="0"/>
        </w:numPr>
        <w:ind w:left="1224"/>
        <w:jc w:val="right"/>
        <w:rPr>
          <w:b w:val="0"/>
          <w:i/>
          <w:lang w:val="ru-RU"/>
        </w:rPr>
      </w:pPr>
      <w:bookmarkStart w:id="43" w:name="__RefHeading___Toc12913_2794671783"/>
      <w:bookmarkStart w:id="44" w:name="_Toc501251261"/>
      <w:bookmarkStart w:id="45" w:name="_Toc51339697"/>
      <w:bookmarkStart w:id="46" w:name="_Toc50125127"/>
      <w:bookmarkStart w:id="47" w:name="_Toc176607669"/>
      <w:bookmarkStart w:id="48" w:name="_Toc147757437"/>
      <w:bookmarkStart w:id="49" w:name="_Toc146292675"/>
      <w:bookmarkEnd w:id="43"/>
      <w:bookmarkEnd w:id="44"/>
      <w:r w:rsidRPr="00D76A59">
        <w:rPr>
          <w:b w:val="0"/>
          <w:i/>
        </w:rPr>
        <w:t xml:space="preserve">Таблица </w:t>
      </w:r>
      <w:r w:rsidRPr="00D76A59">
        <w:rPr>
          <w:b w:val="0"/>
          <w:i/>
          <w:lang w:val="ru-RU"/>
        </w:rPr>
        <w:t>2</w:t>
      </w:r>
      <w:r w:rsidRPr="00D76A59">
        <w:rPr>
          <w:b w:val="0"/>
          <w:i/>
        </w:rPr>
        <w:t>.</w:t>
      </w:r>
      <w:r w:rsidRPr="00D76A59">
        <w:rPr>
          <w:b w:val="0"/>
          <w:i/>
          <w:lang w:val="ru-RU"/>
        </w:rPr>
        <w:t>1</w:t>
      </w:r>
      <w:r w:rsidRPr="00D76A59">
        <w:rPr>
          <w:b w:val="0"/>
          <w:i/>
        </w:rPr>
        <w:t xml:space="preserve"> </w:t>
      </w:r>
      <w:bookmarkStart w:id="50" w:name="_Hlk50465284"/>
      <w:r w:rsidRPr="00D76A59">
        <w:rPr>
          <w:b w:val="0"/>
          <w:i/>
        </w:rPr>
        <w:t xml:space="preserve">Требования по срокам </w:t>
      </w:r>
      <w:bookmarkEnd w:id="45"/>
      <w:bookmarkEnd w:id="46"/>
      <w:bookmarkEnd w:id="50"/>
      <w:r w:rsidRPr="00D76A59">
        <w:rPr>
          <w:b w:val="0"/>
          <w:i/>
          <w:lang w:val="ru-RU"/>
        </w:rPr>
        <w:t>поставки продукции</w:t>
      </w:r>
      <w:bookmarkEnd w:id="47"/>
      <w:bookmarkEnd w:id="48"/>
      <w:bookmarkEnd w:id="49"/>
      <w:r w:rsidRPr="00D76A59">
        <w:rPr>
          <w:b w:val="0"/>
          <w:i/>
          <w:lang w:val="ru-RU"/>
        </w:rPr>
        <w:t xml:space="preserve"> </w:t>
      </w:r>
    </w:p>
    <w:tbl>
      <w:tblPr>
        <w:tblW w:w="10542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90"/>
        <w:gridCol w:w="3177"/>
        <w:gridCol w:w="3217"/>
        <w:gridCol w:w="3358"/>
      </w:tblGrid>
      <w:tr w:rsidR="00B60B36" w:rsidTr="00D76A59">
        <w:trPr>
          <w:trHeight w:val="40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D76A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60B36" w:rsidTr="00D76A59">
        <w:trPr>
          <w:trHeight w:val="4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Pr="00D76A59" w:rsidRDefault="00D76A59" w:rsidP="00D76A59">
            <w:pPr>
              <w:widowControl w:val="0"/>
              <w:jc w:val="center"/>
              <w:rPr>
                <w:i/>
                <w:iCs/>
              </w:rPr>
            </w:pPr>
            <w:r w:rsidRPr="00D76A59">
              <w:rPr>
                <w:i/>
                <w:iCs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Партии №1-7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дней.</w:t>
            </w:r>
          </w:p>
        </w:tc>
      </w:tr>
    </w:tbl>
    <w:p w:rsidR="00B60B36" w:rsidRDefault="00B60B36">
      <w:pPr>
        <w:sectPr w:rsidR="00B60B36" w:rsidSect="00D76A59">
          <w:headerReference w:type="first" r:id="rId7"/>
          <w:pgSz w:w="11906" w:h="16838"/>
          <w:pgMar w:top="567" w:right="424" w:bottom="426" w:left="851" w:header="284" w:footer="0" w:gutter="0"/>
          <w:cols w:space="720"/>
          <w:formProt w:val="0"/>
          <w:titlePg/>
          <w:docGrid w:linePitch="360"/>
        </w:sectPr>
      </w:pPr>
    </w:p>
    <w:p w:rsidR="00B60B36" w:rsidRDefault="00D76A59" w:rsidP="00D76A59">
      <w:pPr>
        <w:pStyle w:val="4"/>
        <w:numPr>
          <w:ilvl w:val="1"/>
          <w:numId w:val="3"/>
        </w:numPr>
      </w:pPr>
      <w:bookmarkStart w:id="51" w:name="__RefHeading___Toc12915_2794671783"/>
      <w:bookmarkStart w:id="52" w:name="_Toc46743511"/>
      <w:bookmarkStart w:id="53" w:name="_Toc176607670"/>
      <w:bookmarkStart w:id="54" w:name="_Toc146292676"/>
      <w:bookmarkStart w:id="55" w:name="_Toc147757438"/>
      <w:bookmarkStart w:id="56" w:name="_Toc51339698"/>
      <w:bookmarkEnd w:id="51"/>
      <w:r>
        <w:lastRenderedPageBreak/>
        <w:t xml:space="preserve">Требования к </w:t>
      </w:r>
      <w:bookmarkEnd w:id="52"/>
      <w:r>
        <w:t>качеству продукции</w:t>
      </w:r>
      <w:bookmarkEnd w:id="53"/>
      <w:bookmarkEnd w:id="54"/>
      <w:bookmarkEnd w:id="55"/>
    </w:p>
    <w:p w:rsidR="00B60B36" w:rsidRPr="00194A8A" w:rsidRDefault="00D76A59" w:rsidP="00194A8A">
      <w:pPr>
        <w:pStyle w:val="30"/>
        <w:numPr>
          <w:ilvl w:val="0"/>
          <w:numId w:val="0"/>
        </w:numPr>
        <w:jc w:val="right"/>
        <w:rPr>
          <w:b w:val="0"/>
          <w:i/>
        </w:rPr>
      </w:pPr>
      <w:bookmarkStart w:id="57" w:name="__RefHeading___Toc12917_2794671783"/>
      <w:bookmarkStart w:id="58" w:name="_Toc146292677"/>
      <w:bookmarkStart w:id="59" w:name="_Toc147757439"/>
      <w:bookmarkStart w:id="60" w:name="_Toc176607671"/>
      <w:bookmarkEnd w:id="57"/>
      <w:r w:rsidRPr="00194A8A">
        <w:rPr>
          <w:b w:val="0"/>
          <w:i/>
        </w:rPr>
        <w:t>Таблица </w:t>
      </w:r>
      <w:r w:rsidRPr="00194A8A">
        <w:rPr>
          <w:b w:val="0"/>
          <w:i/>
          <w:lang w:val="ru-RU"/>
        </w:rPr>
        <w:t>3</w:t>
      </w:r>
      <w:r w:rsidRPr="00194A8A">
        <w:rPr>
          <w:b w:val="0"/>
          <w:i/>
        </w:rPr>
        <w:t xml:space="preserve">. Требования к </w:t>
      </w:r>
      <w:r w:rsidRPr="00194A8A">
        <w:rPr>
          <w:b w:val="0"/>
          <w:i/>
          <w:lang w:val="ru-RU"/>
        </w:rPr>
        <w:t>продукции</w:t>
      </w:r>
      <w:bookmarkEnd w:id="58"/>
      <w:bookmarkEnd w:id="59"/>
      <w:bookmarkEnd w:id="60"/>
      <w:r w:rsidRPr="00194A8A">
        <w:rPr>
          <w:b w:val="0"/>
          <w:i/>
        </w:rPr>
        <w:t xml:space="preserve"> </w:t>
      </w:r>
      <w:bookmarkEnd w:id="56"/>
    </w:p>
    <w:tbl>
      <w:tblPr>
        <w:tblW w:w="158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4"/>
        <w:gridCol w:w="1873"/>
        <w:gridCol w:w="528"/>
        <w:gridCol w:w="435"/>
        <w:gridCol w:w="2832"/>
        <w:gridCol w:w="2981"/>
        <w:gridCol w:w="3543"/>
        <w:gridCol w:w="2552"/>
      </w:tblGrid>
      <w:tr w:rsidR="00B60B36" w:rsidTr="00194A8A"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194A8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4"/>
              <w:widowControl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B60B36" w:rsidTr="00194A8A"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  <w:tc>
          <w:tcPr>
            <w:tcW w:w="3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 w:rsidP="00194A8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 w:rsidR="00194A8A">
              <w:rPr>
                <w:iCs/>
                <w:sz w:val="24"/>
                <w:szCs w:val="24"/>
              </w:rPr>
              <w:t>Приложении № 1 к настоящим  ТТ «</w:t>
            </w:r>
            <w:r>
              <w:rPr>
                <w:iCs/>
                <w:sz w:val="24"/>
                <w:szCs w:val="24"/>
              </w:rPr>
              <w:t>Требования к продукции</w:t>
            </w:r>
            <w:r w:rsidR="00194A8A"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 xml:space="preserve"> (индивидуальные требования по каждой позиции перечня продукции)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требованием/указание характеристик, указывается Участником в Приложении №1 к настоящим ТТ “Требования к продукции”(индивидуальные требования по каждой позиции перечня продукции)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Наличие сертификатов соответствия ГОСТ, на поставляемое оборудование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соответствовать требованиям технических регламентов Таможенного союза «О безопасности низковольтного оборудования» (ТР ТС 004/2011) и «Электромагнитная совместимость технических средств» (ТР ТС 020/2011)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Участник должен предоставить в составе заявки копии сертификатов ТР ТС 004/2011 и ТР ТС 020/2011 на весь перечень продукции, указанной в Таблице 2.1 или предоставить информационное письмо об отсутствии необходимости обязательной сертификации продукции.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конструкции в отношении каждой позиции продукции представлены в Приложении </w:t>
            </w:r>
            <w:r>
              <w:rPr>
                <w:iCs/>
                <w:sz w:val="24"/>
                <w:szCs w:val="24"/>
              </w:rPr>
              <w:lastRenderedPageBreak/>
              <w:t>№ 1 к настоящим ТТ  “Требования к продукции”(индивидуальные требования по каждой позиции перечня продукции)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требованием/ указание характеристик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Согласие с требованием/указание </w:t>
            </w:r>
            <w:r>
              <w:rPr>
                <w:i/>
                <w:iCs/>
                <w:sz w:val="24"/>
                <w:szCs w:val="24"/>
              </w:rPr>
              <w:lastRenderedPageBreak/>
              <w:t>характеристик, указывается Участником в Приложении №1 к настоящим ТТ “Требования к продукции”(индивидуальные требования по каждой позиции перечня продукции)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и выпуск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заводскую сборку, выпускаться серийно.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продукции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новой*, ранее не используемой, произведенной не ранее 01.01.2025 г.</w:t>
            </w:r>
          </w:p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keepNext/>
              <w:widowControl w:val="0"/>
              <w:rPr>
                <w:sz w:val="24"/>
                <w:szCs w:val="24"/>
              </w:rPr>
            </w:pPr>
            <w:bookmarkStart w:id="61" w:name="_Toc149560843"/>
            <w:bookmarkStart w:id="62" w:name="_Toc146292678"/>
            <w:r>
              <w:rPr>
                <w:sz w:val="24"/>
                <w:szCs w:val="24"/>
              </w:rPr>
              <w:t>Условия эксплуатации</w:t>
            </w:r>
            <w:bookmarkEnd w:id="61"/>
            <w:bookmarkEnd w:id="62"/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окружающего воздуха от 15 до 30 градусов ºС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pStyle w:val="affff1"/>
              <w:keepNext w:val="0"/>
              <w:widowControl w:val="0"/>
              <w:spacing w:before="0" w:after="0"/>
              <w:jc w:val="left"/>
              <w:rPr>
                <w:rFonts w:eastAsia="Times New Roman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транспортирования, погрузки, разгрузки и хранения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</w:pPr>
            <w:r>
              <w:rPr>
                <w:iCs/>
                <w:sz w:val="24"/>
                <w:szCs w:val="24"/>
              </w:rPr>
              <w:t>Должна соответствовать требованиям ГОСТ 15846-2002. Обоснование: транспортировка в район Крайнего Севера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pStyle w:val="affff1"/>
              <w:keepNext w:val="0"/>
              <w:widowControl w:val="0"/>
              <w:spacing w:before="0" w:after="0"/>
              <w:jc w:val="left"/>
              <w:rPr>
                <w:rFonts w:eastAsia="Times New Roman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Транспортная </w:t>
            </w:r>
            <w:r>
              <w:rPr>
                <w:sz w:val="24"/>
                <w:szCs w:val="24"/>
              </w:rPr>
              <w:lastRenderedPageBreak/>
              <w:t>маркировка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</w:pPr>
            <w:r>
              <w:rPr>
                <w:iCs/>
                <w:sz w:val="24"/>
                <w:szCs w:val="24"/>
              </w:rPr>
              <w:lastRenderedPageBreak/>
              <w:t xml:space="preserve">Должна соответствовать </w:t>
            </w:r>
            <w:r>
              <w:rPr>
                <w:iCs/>
                <w:sz w:val="24"/>
                <w:szCs w:val="24"/>
              </w:rPr>
              <w:lastRenderedPageBreak/>
              <w:t xml:space="preserve">требованиям </w:t>
            </w:r>
            <w:r>
              <w:rPr>
                <w:sz w:val="24"/>
                <w:szCs w:val="24"/>
              </w:rPr>
              <w:t>ГОСТ 14192-96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доставки, погрузки, разгрузки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Доставка, погрузка – разгрузка производится силами и средствами Поставщика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упаковки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Поставляемая продукция должна быть в оригинальной заводской упаковке производителя. Упаковка должна соответствовать требованиям технического регламента ТР ТС 005/2011 "О безопасности упаковки"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Место поставки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Продукция должна быть поставлена по следующим адресам: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1 677001, РФ, РС(Я), г. Якутск, ул. Ф. Попова, д.14 (ИД)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2 677004, РФ, РС(Я), г. Якутск, ул. Кржижановского, д.2 (ЯГРЭС1)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3 677004, РФ, РС(Я), г. Якутск, ул. Кржижановского, д.2 (ЯГРЭС2)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4 677000, РФ, РС(Я), г. Якутск, ул. Ф. Попова, д.3 (ЯТЭЦ)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5 677021, РФ, РС(Я), г. Якутск, Михаила Николаева пр-кт, дом № 26 (ЦЭС)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6 677021, РФ, РС(Я), г. Якутск, Михаила Николаева пр-кт, дом № 26 (ЦРЭС ЦЭС)</w:t>
            </w:r>
          </w:p>
          <w:p w:rsidR="00B60B36" w:rsidRDefault="00B60B36">
            <w:pPr>
              <w:widowControl w:val="0"/>
              <w:rPr>
                <w:kern w:val="2"/>
                <w:sz w:val="24"/>
                <w:szCs w:val="24"/>
              </w:rPr>
            </w:pPr>
          </w:p>
          <w:p w:rsidR="00B60B36" w:rsidRDefault="00D76A5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Партия № 7 678174, РФ, РС(Я), г. Мирный, Ленинградский, 5/2 (ЗЭС)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6.1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Срок гарантии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гарантии на поставляемую продукцию, в отношении каждой позиции продукции представлены в Приложении № 1 к настоящим Техническим требованиям.</w:t>
            </w:r>
          </w:p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срок не указан - срок гарантии должен быть равен гарантии завода изготовителя, но не менее 12 месяцев/</w:t>
            </w:r>
          </w:p>
          <w:p w:rsidR="00B60B36" w:rsidRDefault="00D76A5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 исчисления гарантийного срока – с даты подписания Сторонами товарной накладной унифицированной формы ТОРГ-12 или УПД.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6.2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Условия гарантии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гарантийного срока должна быть обеспечена безвозмездная замена или ремонт вышедшего из строя оборудования, включая его доставку до места поставки </w:t>
            </w:r>
            <w:r>
              <w:rPr>
                <w:sz w:val="24"/>
                <w:szCs w:val="24"/>
              </w:rPr>
              <w:lastRenderedPageBreak/>
              <w:t>продукции (в соотв. с п. 5.5 Таблицы 3) и обратно. Доставку неисправной продукции в сервисный центр для проведения ремонта и возвращение исправного, после ремонта, Поставщик осуществляет за свой счет.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сертификаты качества;</w:t>
            </w:r>
          </w:p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паспорта;</w:t>
            </w:r>
          </w:p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руководства по эксплуатации;</w:t>
            </w:r>
          </w:p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упаковочные листы,</w:t>
            </w:r>
          </w:p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товарно-транспортную накладную формы №1-Т;</w:t>
            </w:r>
          </w:p>
          <w:p w:rsidR="00B60B36" w:rsidRDefault="00D76A5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товарную накладную унифицированной формы ТОРГ-12 или УПД в 2 экз.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происхождению поставляемой продукции</w:t>
            </w:r>
          </w:p>
          <w:p w:rsidR="00B60B36" w:rsidRDefault="00B60B3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overflowPunct/>
              <w:spacing w:beforeAutospacing="1"/>
            </w:pPr>
            <w:r>
              <w:rPr>
                <w:sz w:val="24"/>
                <w:szCs w:val="24"/>
              </w:rPr>
              <w:t>Для подтверждения происхождения продукции из РФ указать номер реестровой записи</w:t>
            </w:r>
          </w:p>
          <w:p w:rsidR="00B60B36" w:rsidRDefault="00B60B36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overflowPunct/>
              <w:spacing w:beforeAutospacing="1"/>
            </w:pPr>
            <w:r>
              <w:rPr>
                <w:sz w:val="24"/>
                <w:szCs w:val="24"/>
              </w:rPr>
              <w:t xml:space="preserve">Участник должен предоставить в составе заявки копию выписки из реестра российской промышленной продукции (ПП № 719 17.07.2015 «О подтверждении производства российской </w:t>
            </w:r>
            <w:r>
              <w:rPr>
                <w:sz w:val="24"/>
                <w:szCs w:val="24"/>
              </w:rPr>
              <w:lastRenderedPageBreak/>
              <w:t>промышленной продукции») или из Евразийского реестра промышленных товаров государств — членов ЕЭС.</w:t>
            </w:r>
          </w:p>
          <w:p w:rsidR="00B60B36" w:rsidRDefault="00B60B36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lastRenderedPageBreak/>
              <w:t>-</w:t>
            </w:r>
          </w:p>
          <w:p w:rsidR="00B60B36" w:rsidRDefault="00B60B36">
            <w:pPr>
              <w:widowControl w:val="0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B60B36" w:rsidTr="00194A8A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pacing w:after="120"/>
            </w:pPr>
            <w:r>
              <w:rPr>
                <w:iCs/>
                <w:sz w:val="24"/>
                <w:szCs w:val="24"/>
              </w:rPr>
              <w:t>Условия поставки эквивалентной продукции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jc w:val="both"/>
            </w:pPr>
            <w:r>
              <w:rPr>
                <w:iCs/>
                <w:color w:val="000000"/>
                <w:sz w:val="24"/>
                <w:szCs w:val="24"/>
              </w:rPr>
      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</w:t>
            </w:r>
            <w:r>
              <w:rPr>
                <w:iCs/>
                <w:sz w:val="24"/>
                <w:szCs w:val="24"/>
              </w:rPr>
              <w:t>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      </w:r>
          </w:p>
          <w:p w:rsidR="00B60B36" w:rsidRDefault="00D76A59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</w:tbl>
    <w:p w:rsidR="00B60B36" w:rsidRDefault="00D76A59">
      <w:pPr>
        <w:rPr>
          <w:b/>
          <w:i/>
          <w:sz w:val="24"/>
          <w:szCs w:val="24"/>
        </w:rPr>
        <w:sectPr w:rsidR="00B60B36" w:rsidSect="00194A8A">
          <w:headerReference w:type="default" r:id="rId8"/>
          <w:headerReference w:type="first" r:id="rId9"/>
          <w:pgSz w:w="16838" w:h="11906" w:orient="landscape"/>
          <w:pgMar w:top="568" w:right="567" w:bottom="851" w:left="992" w:header="284" w:footer="0" w:gutter="0"/>
          <w:cols w:space="720"/>
          <w:formProt w:val="0"/>
          <w:titlePg/>
          <w:docGrid w:linePitch="381"/>
        </w:sectPr>
      </w:pPr>
      <w:r>
        <w:rPr>
          <w:sz w:val="24"/>
          <w:szCs w:val="24"/>
        </w:rPr>
        <w:t>В случае если какой-либо из указанных в настоящих Технических требованиях ГОСТ, РД (руководящий документ) или нормативный документ был отменен в связи с выпуском новой редакции стандарта, то Участнику необходимо применять ГОСТ, РД (руководящий документ) или нормативный документ, принятый в его развитие.</w:t>
      </w:r>
    </w:p>
    <w:p w:rsidR="00B60B36" w:rsidRDefault="00D76A59" w:rsidP="00D76A59">
      <w:pPr>
        <w:pStyle w:val="1"/>
        <w:numPr>
          <w:ilvl w:val="0"/>
          <w:numId w:val="3"/>
        </w:numPr>
      </w:pPr>
      <w:bookmarkStart w:id="63" w:name="__RefHeading___Toc12919_2794671783"/>
      <w:bookmarkStart w:id="64" w:name="_Toc53393312"/>
      <w:bookmarkStart w:id="65" w:name="_Toc176607672"/>
      <w:bookmarkStart w:id="66" w:name="_Toc147757443"/>
      <w:bookmarkStart w:id="67" w:name="_Toc146292681"/>
      <w:bookmarkStart w:id="68" w:name="_GoBack"/>
      <w:bookmarkEnd w:id="63"/>
      <w:bookmarkEnd w:id="68"/>
      <w:r>
        <w:lastRenderedPageBreak/>
        <w:t>Требования к документации по ценообразованию</w:t>
      </w:r>
      <w:bookmarkEnd w:id="64"/>
      <w:r>
        <w:t xml:space="preserve"> на этапе закупки</w:t>
      </w:r>
      <w:bookmarkEnd w:id="65"/>
      <w:bookmarkEnd w:id="66"/>
      <w:bookmarkEnd w:id="67"/>
    </w:p>
    <w:p w:rsidR="00B60B36" w:rsidRDefault="00B60B36">
      <w:pPr>
        <w:rPr>
          <w:lang w:eastAsia="x-none"/>
        </w:rPr>
      </w:pPr>
    </w:p>
    <w:p w:rsidR="00B60B36" w:rsidRDefault="00D76A59">
      <w:pPr>
        <w:numPr>
          <w:ilvl w:val="1"/>
          <w:numId w:val="6"/>
        </w:numPr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69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69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B60B36" w:rsidRDefault="00D76A59">
      <w:pPr>
        <w:numPr>
          <w:ilvl w:val="1"/>
          <w:numId w:val="6"/>
        </w:numPr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70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70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 w:rsidR="00B60B36" w:rsidRDefault="00B60B36" w:rsidP="00194A8A">
      <w:pPr>
        <w:pStyle w:val="30"/>
        <w:numPr>
          <w:ilvl w:val="0"/>
          <w:numId w:val="0"/>
        </w:numPr>
      </w:pPr>
    </w:p>
    <w:p w:rsidR="00B60B36" w:rsidRDefault="00D76A59">
      <w:pPr>
        <w:rPr>
          <w:rFonts w:eastAsia="Calibri"/>
          <w:b/>
          <w:iCs/>
          <w:color w:val="FF0000"/>
          <w:lang w:val="x-none" w:eastAsia="x-none"/>
        </w:rPr>
      </w:pPr>
      <w:r>
        <w:br w:type="page"/>
      </w:r>
    </w:p>
    <w:p w:rsidR="00B60B36" w:rsidRDefault="00D76A59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B60B36" w:rsidRDefault="00D76A59">
      <w:pPr>
        <w:spacing w:after="120"/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B60B36" w:rsidRDefault="00D76A59">
      <w:pPr>
        <w:keepNext/>
        <w:spacing w:after="120"/>
        <w:ind w:right="39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 </w:t>
      </w:r>
    </w:p>
    <w:p w:rsidR="00B60B36" w:rsidRDefault="00B60B36">
      <w:pPr>
        <w:spacing w:after="120"/>
        <w:ind w:right="397"/>
        <w:jc w:val="both"/>
        <w:rPr>
          <w:b/>
          <w:bCs/>
          <w:sz w:val="24"/>
          <w:szCs w:val="24"/>
        </w:rPr>
      </w:pPr>
    </w:p>
    <w:tbl>
      <w:tblPr>
        <w:tblW w:w="1498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29"/>
        <w:gridCol w:w="1947"/>
        <w:gridCol w:w="4412"/>
        <w:gridCol w:w="2360"/>
        <w:gridCol w:w="2510"/>
        <w:gridCol w:w="2367"/>
        <w:gridCol w:w="238"/>
        <w:gridCol w:w="322"/>
      </w:tblGrid>
      <w:tr w:rsidR="00B60B36">
        <w:trPr>
          <w:trHeight w:val="72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0B36">
        <w:trPr>
          <w:trHeight w:val="726"/>
        </w:trPr>
        <w:tc>
          <w:tcPr>
            <w:tcW w:w="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Наименование продукции из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br/>
              <w:t>Таблицы 1.1. «Перечень и объем закупаемой продукции»</w:t>
            </w:r>
          </w:p>
        </w:tc>
        <w:tc>
          <w:tcPr>
            <w:tcW w:w="4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Требования заказчика</w:t>
            </w:r>
          </w:p>
        </w:tc>
        <w:tc>
          <w:tcPr>
            <w:tcW w:w="48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Способ подтверждения участником соответствия требованиям*</w:t>
            </w:r>
          </w:p>
        </w:tc>
        <w:tc>
          <w:tcPr>
            <w:tcW w:w="2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Предложение участника по характеристикам и параметрам</w:t>
            </w:r>
          </w:p>
        </w:tc>
        <w:tc>
          <w:tcPr>
            <w:tcW w:w="238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0B36">
        <w:trPr>
          <w:trHeight w:val="726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Согласие с требованием / указание характеристик</w:t>
            </w:r>
          </w:p>
          <w:p w:rsidR="00B60B36" w:rsidRDefault="00B60B36">
            <w:pPr>
              <w:widowControl w:val="0"/>
              <w:suppressAutoHyphens w:val="0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</w:pPr>
          </w:p>
        </w:tc>
        <w:tc>
          <w:tcPr>
            <w:tcW w:w="238" w:type="dxa"/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322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0B36">
        <w:trPr>
          <w:trHeight w:val="2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suppressAutoHyphens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8" w:type="dxa"/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322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0B36">
        <w:trPr>
          <w:trHeight w:val="223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6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6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Клавиатура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Клавиатура, KЛ104PY/TA, БЕШТАУ, или аналог с характеристиками: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- Проводная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Интерфейс - USB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клавиш - не менее 104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Конструктивные особенности - полноразмерная, классическая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- чёрный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русских букв - Белые (нанесены на клавиатуру заводским способом)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латинских букв - Белые (нанесены на клавиатуру заводским способом)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Цифровой блок — Наличие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кабеля — не менее 1.8м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из Реестр промышленной продукции,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произведенной на территории </w:t>
            </w:r>
            <w:r>
              <w:rPr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Указать характеристики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center"/>
            </w:pP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center"/>
            </w:pPr>
          </w:p>
        </w:tc>
        <w:tc>
          <w:tcPr>
            <w:tcW w:w="238" w:type="dxa"/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322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0B36">
        <w:trPr>
          <w:trHeight w:val="223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6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6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Мышь</w:t>
            </w:r>
          </w:p>
        </w:tc>
        <w:tc>
          <w:tcPr>
            <w:tcW w:w="4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Мышь, M100PY/TA, БЕШТАУ, или аналог с характеристиками: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- мышь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 работы - оптическая светодиодная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подключения - проводной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Интерфейс подключения - USB Type A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Разрешение оптического сенсора - не менее 1000 dpi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кабеля — не менее 1.8м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 - для левой руки, для правой руки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Встроенные опции - колесо прокрутки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из Реестр промышленной продукции,</w:t>
            </w:r>
          </w:p>
          <w:p w:rsidR="00B60B36" w:rsidRDefault="00D76A59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произведенной на территории Российской Федерации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D76A59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Указать характеристики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center"/>
            </w:pP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B36" w:rsidRDefault="00B60B36">
            <w:pPr>
              <w:widowControl w:val="0"/>
              <w:suppressAutoHyphens w:val="0"/>
              <w:jc w:val="center"/>
            </w:pPr>
          </w:p>
        </w:tc>
        <w:tc>
          <w:tcPr>
            <w:tcW w:w="238" w:type="dxa"/>
            <w:vAlign w:val="center"/>
          </w:tcPr>
          <w:p w:rsidR="00B60B36" w:rsidRDefault="00B60B36">
            <w:pPr>
              <w:widowControl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322" w:type="dxa"/>
          </w:tcPr>
          <w:p w:rsidR="00B60B36" w:rsidRDefault="00B60B36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60B36" w:rsidRDefault="00B60B36">
      <w:pPr>
        <w:spacing w:after="120"/>
        <w:ind w:right="397"/>
        <w:jc w:val="both"/>
        <w:rPr>
          <w:bCs/>
          <w:sz w:val="24"/>
          <w:szCs w:val="24"/>
        </w:rPr>
      </w:pPr>
    </w:p>
    <w:p w:rsidR="00B60B36" w:rsidRDefault="00D76A59">
      <w:pPr>
        <w:spacing w:before="40" w:after="120"/>
        <w:ind w:right="-28"/>
        <w:jc w:val="both"/>
        <w:rPr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2"/>
          <w:szCs w:val="22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B60B36" w:rsidRDefault="00B60B36">
      <w:pPr>
        <w:spacing w:before="40" w:after="120"/>
        <w:ind w:right="-28"/>
        <w:jc w:val="both"/>
        <w:rPr>
          <w:i/>
          <w:iCs/>
          <w:sz w:val="24"/>
          <w:szCs w:val="24"/>
          <w:shd w:val="clear" w:color="auto" w:fill="FFFF99"/>
        </w:rPr>
      </w:pPr>
    </w:p>
    <w:sectPr w:rsidR="00B60B36">
      <w:headerReference w:type="default" r:id="rId10"/>
      <w:headerReference w:type="first" r:id="rId11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59" w:rsidRDefault="00D76A59">
      <w:r>
        <w:separator/>
      </w:r>
    </w:p>
  </w:endnote>
  <w:endnote w:type="continuationSeparator" w:id="0">
    <w:p w:rsidR="00D76A59" w:rsidRDefault="00D7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59" w:rsidRDefault="00D76A59">
      <w:r>
        <w:separator/>
      </w:r>
    </w:p>
  </w:footnote>
  <w:footnote w:type="continuationSeparator" w:id="0">
    <w:p w:rsidR="00D76A59" w:rsidRDefault="00D7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59" w:rsidRDefault="00D76A59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59" w:rsidRDefault="00D76A5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94A8A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59" w:rsidRDefault="00D76A5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59" w:rsidRDefault="00D76A5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94A8A">
      <w:rPr>
        <w:noProof/>
      </w:rPr>
      <w:t>12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59" w:rsidRDefault="00D76A5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50D9"/>
    <w:multiLevelType w:val="multilevel"/>
    <w:tmpl w:val="B3E868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27453EC2"/>
    <w:multiLevelType w:val="multilevel"/>
    <w:tmpl w:val="BB121706"/>
    <w:lvl w:ilvl="0">
      <w:start w:val="1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5879D8"/>
    <w:multiLevelType w:val="multilevel"/>
    <w:tmpl w:val="3B36D53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86D453E"/>
    <w:multiLevelType w:val="multilevel"/>
    <w:tmpl w:val="6F82636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8DA234B"/>
    <w:multiLevelType w:val="multilevel"/>
    <w:tmpl w:val="4D9CD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6A49FE"/>
    <w:multiLevelType w:val="multilevel"/>
    <w:tmpl w:val="C99CF47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76417C34"/>
    <w:multiLevelType w:val="multilevel"/>
    <w:tmpl w:val="52AAAF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F745245"/>
    <w:multiLevelType w:val="multilevel"/>
    <w:tmpl w:val="C74C671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36"/>
    <w:rsid w:val="00194A8A"/>
    <w:rsid w:val="00B60B36"/>
    <w:rsid w:val="00D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1A61"/>
  <w15:docId w15:val="{3B108039-548D-4454-B2EF-F24AB2B0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sz w:val="28"/>
      <w:szCs w:val="28"/>
    </w:rPr>
  </w:style>
  <w:style w:type="paragraph" w:styleId="1">
    <w:name w:val="heading 1"/>
    <w:basedOn w:val="30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D76A59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basedOn w:val="a4"/>
    <w:rPr>
      <w:color w:val="0563C1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D76A5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1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c">
    <w:name w:val="Нижний колонтитул Знак"/>
    <w:basedOn w:val="a4"/>
    <w:link w:val="affd"/>
    <w:qFormat/>
    <w:rPr>
      <w:sz w:val="28"/>
      <w:szCs w:val="28"/>
    </w:rPr>
  </w:style>
  <w:style w:type="character" w:customStyle="1" w:styleId="bold">
    <w:name w:val="bold"/>
    <w:basedOn w:val="a4"/>
    <w:qFormat/>
  </w:style>
  <w:style w:type="character" w:customStyle="1" w:styleId="affe">
    <w:name w:val="Ссылка указателя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e">
    <w:name w:val="Body Text"/>
    <w:basedOn w:val="a3"/>
    <w:link w:val="afd"/>
    <w:pPr>
      <w:spacing w:after="120"/>
    </w:pPr>
  </w:style>
  <w:style w:type="paragraph" w:styleId="afff0">
    <w:name w:val="List"/>
    <w:basedOn w:val="afe"/>
    <w:rPr>
      <w:rFonts w:cs="Lucida Sans"/>
    </w:rPr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6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7">
    <w:name w:val="Раздел регламента"/>
    <w:basedOn w:val="a3"/>
    <w:qFormat/>
  </w:style>
  <w:style w:type="paragraph" w:customStyle="1" w:styleId="afff8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9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a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ind w:left="720"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qFormat/>
    <w:pPr>
      <w:overflowPunct w:val="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pPr>
      <w:numPr>
        <w:ilvl w:val="3"/>
        <w:numId w:val="4"/>
      </w:num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3a">
    <w:name w:val="Заголовок 3 ДИТ"/>
    <w:basedOn w:val="a3"/>
    <w:qFormat/>
    <w:pPr>
      <w:textAlignment w:val="baseline"/>
    </w:pPr>
    <w:rPr>
      <w:kern w:val="2"/>
      <w:sz w:val="24"/>
      <w:szCs w:val="24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Calibri" w:hAnsi="Calibri"/>
      <w:kern w:val="2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12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Васильев Кирилл Дмитриевич</cp:lastModifiedBy>
  <cp:revision>33</cp:revision>
  <dcterms:created xsi:type="dcterms:W3CDTF">2025-08-14T07:45:00Z</dcterms:created>
  <dcterms:modified xsi:type="dcterms:W3CDTF">2026-05-25T06:44:00Z</dcterms:modified>
  <dc:language>ru-RU</dc:language>
</cp:coreProperties>
</file>