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shd w:val="clear" w:color="auto" w:fill="FFFFFF"/>
        <w:tabs>
          <w:tab w:val="clear" w:pos="709"/>
          <w:tab w:val="left" w:pos="6926" w:leader="none"/>
        </w:tabs>
        <w:jc w:val="right"/>
        <w:rPr>
          <w:bCs/>
          <w:sz w:val="24"/>
          <w:szCs w:val="24"/>
        </w:rPr>
      </w:pPr>
      <w:r>
        <w:rPr>
          <w:bCs/>
          <w:sz w:val="24"/>
          <w:szCs w:val="24"/>
        </w:rPr>
        <w:t>к приказу ПАО «РусГидро»</w:t>
      </w:r>
    </w:p>
    <w:p>
      <w:pPr>
        <w:pStyle w:val="Normal"/>
        <w:shd w:val="clear" w:color="auto" w:fill="FFFFFF"/>
        <w:tabs>
          <w:tab w:val="clear" w:pos="709"/>
          <w:tab w:val="left" w:pos="6926" w:leader="none"/>
        </w:tabs>
        <w:jc w:val="right"/>
        <w:rPr>
          <w:b/>
          <w:sz w:val="24"/>
          <w:szCs w:val="24"/>
        </w:rPr>
      </w:pPr>
      <w:r>
        <w:rPr>
          <w:sz w:val="24"/>
          <w:szCs w:val="24"/>
        </w:rPr>
        <w:t>от 02.07.2024 № 415</w:t>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аккумуляторы</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highlight w:val="lightGray"/>
        </w:rPr>
        <w:t>_________________</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highlight w:val="lightGray"/>
        </w:rPr>
        <w:t>«___» ___________ 20___</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rStyle w:val="FootnoteReference"/>
          <w:bCs/>
          <w:sz w:val="24"/>
          <w:szCs w:val="24"/>
          <w:highlight w:val="lightGray"/>
          <w:vertAlign w:val="superscript"/>
        </w:rPr>
        <w:footnoteReference w:id="2"/>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3"/>
      </w:r>
      <w:r>
        <w:rPr>
          <w:sz w:val="24"/>
        </w:rPr>
        <w:t xml:space="preserve">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4"/>
      </w:r>
      <w:r>
        <w:rPr>
          <w:sz w:val="24"/>
        </w:rPr>
        <w:t xml:space="preserve"> выплачивается Поставщику в течение </w:t>
      </w:r>
      <w:r>
        <w:rPr>
          <w:sz w:val="24"/>
          <w:highlight w:val="lightGray"/>
        </w:rPr>
        <w:t>20 (двадцати) календарных дней</w:t>
      </w:r>
      <w:r>
        <w:rPr>
          <w:rStyle w:val="FootnoteReference"/>
          <w:sz w:val="24"/>
          <w:highlight w:val="lightGray"/>
        </w:rPr>
        <w:footnoteReference w:id="5"/>
      </w:r>
      <w:r>
        <w:rPr>
          <w:sz w:val="24"/>
          <w:highlight w:val="lightGray"/>
        </w:rPr>
        <w:t xml:space="preserve"> / 7 (семи) рабочих дней</w:t>
      </w:r>
      <w:r>
        <w:rPr>
          <w:rStyle w:val="FootnoteReference"/>
          <w:sz w:val="24"/>
          <w:highlight w:val="lightGray"/>
        </w:rPr>
        <w:footnoteReference w:id="6"/>
      </w:r>
      <w:r>
        <w:rPr>
          <w:sz w:val="24"/>
        </w:rPr>
        <w:t xml:space="preserve"> с даты подписания Сторонами накладной ТОРГ-12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0"/>
          <w:numId w:val="0"/>
        </w:numPr>
        <w:tabs>
          <w:tab w:val="left" w:pos="709" w:leader="none"/>
          <w:tab w:val="left" w:pos="1134" w:leader="none"/>
        </w:tabs>
        <w:ind w:left="0" w:hanging="0"/>
        <w:jc w:val="both"/>
        <w:rPr>
          <w:sz w:val="24"/>
          <w:szCs w:val="24"/>
        </w:rPr>
      </w:pPr>
      <w:r>
        <w:rPr>
          <w:sz w:val="24"/>
          <w:szCs w:val="24"/>
        </w:rPr>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36 (тридцать шесть)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Normal"/>
        <w:numPr>
          <w:ilvl w:val="0"/>
          <w:numId w:val="0"/>
        </w:numPr>
        <w:shd w:val="clear" w:color="auto" w:fill="FFFFFF"/>
        <w:tabs>
          <w:tab w:val="clear" w:pos="709"/>
          <w:tab w:val="left" w:pos="1134" w:leader="none"/>
        </w:tabs>
        <w:ind w:left="0" w:hanging="0"/>
        <w:jc w:val="both"/>
        <w:rPr>
          <w:sz w:val="24"/>
          <w:szCs w:val="24"/>
        </w:rPr>
      </w:pPr>
      <w:r>
        <w:rPr>
          <w:sz w:val="24"/>
          <w:szCs w:val="24"/>
        </w:rPr>
        <w:t xml:space="preserve">     </w:t>
      </w: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7"/>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8"/>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9"/>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10"/>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0"/>
          <w:numId w:val="0"/>
        </w:numPr>
        <w:shd w:val="clear" w:color="auto" w:fill="FFFFFF"/>
        <w:tabs>
          <w:tab w:val="clear" w:pos="709"/>
          <w:tab w:val="left" w:pos="0" w:leader="none"/>
        </w:tabs>
        <w:bidi w:val="0"/>
        <w:spacing w:before="0" w:after="0"/>
        <w:ind w:left="0" w:right="0" w:hanging="0"/>
        <w:contextualSpacing/>
        <w:jc w:val="both"/>
        <w:rPr>
          <w:bCs/>
          <w:sz w:val="24"/>
          <w:szCs w:val="24"/>
        </w:rPr>
      </w:pPr>
      <w:r>
        <w:rPr>
          <w:bCs/>
          <w:sz w:val="24"/>
          <w:szCs w:val="24"/>
        </w:rPr>
        <w:t xml:space="preserve">      </w:t>
      </w:r>
      <w:r>
        <w:rPr>
          <w:bCs/>
          <w:sz w:val="24"/>
          <w:szCs w:val="24"/>
        </w:rPr>
        <w:t xml:space="preserve">8.2. 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0"/>
          <w:numId w:val="0"/>
        </w:numPr>
        <w:shd w:val="clear" w:color="auto" w:fill="FFFFFF"/>
        <w:tabs>
          <w:tab w:val="clear" w:pos="709"/>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0"/>
          <w:numId w:val="0"/>
        </w:numPr>
        <w:shd w:val="clear" w:color="auto" w:fill="FFFFFF"/>
        <w:tabs>
          <w:tab w:val="clear" w:pos="709"/>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8.4. 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0"/>
          <w:numId w:val="0"/>
        </w:numPr>
        <w:shd w:val="clear" w:color="auto" w:fill="FFFFFF"/>
        <w:tabs>
          <w:tab w:val="clear" w:pos="709"/>
          <w:tab w:val="left" w:pos="0" w:leader="none"/>
          <w:tab w:val="left" w:pos="1418" w:leader="none"/>
        </w:tabs>
        <w:ind w:left="0" w:hanging="0"/>
        <w:jc w:val="both"/>
        <w:rPr>
          <w:bCs/>
          <w:sz w:val="24"/>
          <w:szCs w:val="24"/>
        </w:rPr>
      </w:pPr>
      <w:r>
        <w:rPr>
          <w:bCs/>
          <w:sz w:val="24"/>
          <w:szCs w:val="24"/>
        </w:rPr>
        <w:t xml:space="preserve">           </w:t>
      </w:r>
      <w:r>
        <w:rPr>
          <w:bCs/>
          <w:sz w:val="24"/>
          <w:szCs w:val="24"/>
        </w:rPr>
        <w:t>8.5.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1"/>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2"/>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3"/>
        <w:gridCol w:w="145"/>
        <w:gridCol w:w="4641"/>
        <w:gridCol w:w="321"/>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 xml:space="preserve">г.о. г. Красноярск, г. Красноярск, </w:t>
            </w:r>
          </w:p>
          <w:p>
            <w:pPr>
              <w:pStyle w:val="Normal"/>
              <w:widowControl w:val="false"/>
              <w:rPr/>
            </w:pPr>
            <w:r>
              <w:rPr>
                <w:sz w:val="24"/>
                <w:szCs w:val="24"/>
              </w:rPr>
              <w:t>ул. Перенсона, зд. 2А , помещ. 1</w:t>
            </w:r>
          </w:p>
          <w:p>
            <w:pPr>
              <w:pStyle w:val="Normal"/>
              <w:widowControl w:val="false"/>
              <w:rPr>
                <w:sz w:val="24"/>
                <w:szCs w:val="24"/>
              </w:rPr>
            </w:pPr>
            <w:r>
              <w:rPr>
                <w:sz w:val="24"/>
                <w:szCs w:val="24"/>
              </w:rPr>
              <w:t xml:space="preserve">Почтовый адрес: </w:t>
            </w:r>
          </w:p>
          <w:p>
            <w:pPr>
              <w:pStyle w:val="Normal"/>
              <w:widowControl w:val="false"/>
              <w:rPr/>
            </w:pPr>
            <w:r>
              <w:rPr>
                <w:sz w:val="24"/>
                <w:szCs w:val="24"/>
              </w:rPr>
              <w:t>655619, РФ, Республика Хакасия, городской округ</w:t>
            </w:r>
          </w:p>
          <w:p>
            <w:pPr>
              <w:pStyle w:val="Normal"/>
              <w:widowControl w:val="false"/>
              <w:rPr/>
            </w:pPr>
            <w:r>
              <w:rPr>
                <w:sz w:val="24"/>
                <w:szCs w:val="24"/>
              </w:rPr>
              <w:t>г. Саяногорск, рп. Черемушки, а/я 39</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246601001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400"/>
        <w:gridCol w:w="630"/>
        <w:gridCol w:w="636"/>
        <w:gridCol w:w="638"/>
        <w:gridCol w:w="801"/>
        <w:gridCol w:w="764"/>
        <w:gridCol w:w="644"/>
        <w:gridCol w:w="762"/>
        <w:gridCol w:w="720"/>
        <w:gridCol w:w="383"/>
        <w:gridCol w:w="151"/>
        <w:gridCol w:w="671"/>
        <w:gridCol w:w="576"/>
        <w:gridCol w:w="535"/>
        <w:gridCol w:w="745"/>
        <w:gridCol w:w="581"/>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6"/>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7"/>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8"/>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20"/>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2"/>
        <w:gridCol w:w="8507"/>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21"/>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2"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2" w:type="dxa"/>
            <w:tcBorders/>
          </w:tcPr>
          <w:p>
            <w:pPr>
              <w:pStyle w:val="Normal"/>
              <w:widowControl w:val="false"/>
              <w:ind w:right="-108" w:hanging="0"/>
              <w:jc w:val="both"/>
              <w:rPr>
                <w:sz w:val="24"/>
                <w:szCs w:val="24"/>
                <w:lang w:val="en-GB"/>
              </w:rPr>
            </w:pPr>
            <w:r>
              <w:rPr>
                <w:sz w:val="24"/>
                <w:szCs w:val="24"/>
                <w:lang w:val="en-GB"/>
              </w:rPr>
              <w:t>-</w:t>
            </w:r>
          </w:p>
        </w:tc>
        <w:tc>
          <w:tcPr>
            <w:tcW w:w="8507"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22"/>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4">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5">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6">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8">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9">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10">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1">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2">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5">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6">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7">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8">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9">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20">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1">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Application>AlterOffice/3.4.0.9$Linux_X86_64 LibreOffice_project/b8daf9e823b1a5463a2f48435ddc2e8696e7d4fc</Application>
  <AppVersion>15.0000</AppVersion>
  <Pages>26</Pages>
  <Words>9442</Words>
  <Characters>67769</Characters>
  <CharactersWithSpaces>76962</CharactersWithSpaces>
  <Paragraphs>434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maksimovag@corp.gidroogk.com</cp:lastModifiedBy>
  <cp:lastPrinted>2018-05-22T09:46:00Z</cp:lastPrinted>
  <dcterms:modified xsi:type="dcterms:W3CDTF">2026-05-25T14:01:08Z</dcterms:modified>
  <cp:revision>53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