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green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ТМЦ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ОКПД2 26.20.30 Поставка модуля формирователей импульсов для нужд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филиала ПАО «РусГидро»-«Бурейская ГЭС»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Лот № 12-</w:t>
      </w:r>
      <w:r>
        <w:rPr>
          <w:b/>
          <w:bCs/>
          <w:sz w:val="26"/>
          <w:szCs w:val="26"/>
        </w:rPr>
        <w:t>АЗ-2026-БурГЭС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9243_3273455298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245_3273455298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247_3273455298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249_3273455298">
            <w:r>
              <w:rPr>
                <w:webHidden/>
                <w:rStyle w:val="Style14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253_3273455298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257_3273455298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259_3273455298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9261_3273455298">
            <w:r>
              <w:rPr>
                <w:webHidden/>
                <w:rStyle w:val="Style14"/>
                <w:vanish w:val="false"/>
              </w:rPr>
              <w:t>2.1.1. Требования к срокам поставки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263_3273455298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265_3273455298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267_3273455298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5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4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Heading2"/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1"/>
        </w:numPr>
        <w:ind w:left="426" w:firstLine="141"/>
        <w:rPr>
          <w:caps/>
        </w:rPr>
      </w:pPr>
      <w:bookmarkStart w:id="0" w:name="__RefHeading___Toc9243_3273455298"/>
      <w:bookmarkStart w:id="1" w:name="_Toc210909343"/>
      <w:bookmarkStart w:id="2" w:name="_Toc51339692"/>
      <w:bookmarkEnd w:id="0"/>
      <w:bookmarkEnd w:id="2"/>
      <w:r>
        <w:rPr/>
        <w:t>Общие сведения</w:t>
      </w:r>
      <w:bookmarkEnd w:id="1"/>
    </w:p>
    <w:p>
      <w:pPr>
        <w:pStyle w:val="Heading4"/>
        <w:numPr>
          <w:ilvl w:val="1"/>
          <w:numId w:val="1"/>
        </w:numPr>
        <w:ind w:left="426" w:firstLine="141"/>
        <w:rPr/>
      </w:pPr>
      <w:bookmarkStart w:id="3" w:name="__RefHeading___Toc9245_3273455298"/>
      <w:bookmarkStart w:id="4" w:name="_Toc210909344"/>
      <w:bookmarkStart w:id="5" w:name="_Toc46743505"/>
      <w:bookmarkEnd w:id="3"/>
      <w:bookmarkEnd w:id="5"/>
      <w:r>
        <w:rPr/>
        <w:t>Обозначения и сокращения</w:t>
      </w:r>
      <w:bookmarkEnd w:id="4"/>
    </w:p>
    <w:p>
      <w:pPr>
        <w:pStyle w:val="Normal"/>
        <w:rPr>
          <w:rStyle w:val="Style8"/>
        </w:rPr>
      </w:pPr>
      <w:r>
        <w:rPr/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обособленное подразделение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ФИМ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формирователей импульсов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ind w:left="426" w:firstLine="141"/>
        <w:rPr/>
      </w:pPr>
      <w:bookmarkStart w:id="6" w:name="__RefHeading___Toc9247_3273455298"/>
      <w:bookmarkStart w:id="7" w:name="_Toc210909345"/>
      <w:bookmarkStart w:id="8" w:name="_Toc46743506"/>
      <w:bookmarkEnd w:id="6"/>
      <w:bookmarkEnd w:id="8"/>
      <w:r>
        <w:rPr/>
        <w:t>Наименование закупаемой продукции</w:t>
      </w:r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bCs/>
          <w:sz w:val="24"/>
          <w:szCs w:val="24"/>
          <w:lang w:val="x-none" w:eastAsia="x-none"/>
        </w:rPr>
        <w:t>ОКПД2 26.20.30 Поставка модуля формирователей импульсов для нужд филиала ПАО «РусГидро»-«Бурейская ГЭС»</w:t>
      </w:r>
    </w:p>
    <w:p>
      <w:pPr>
        <w:pStyle w:val="Heading4"/>
        <w:numPr>
          <w:ilvl w:val="1"/>
          <w:numId w:val="1"/>
        </w:numPr>
        <w:ind w:left="426" w:firstLine="141"/>
        <w:rPr/>
      </w:pPr>
      <w:bookmarkStart w:id="9" w:name="__RefHeading___Toc9249_3273455298"/>
      <w:bookmarkStart w:id="10" w:name="_Toc210909346"/>
      <w:bookmarkStart w:id="11" w:name="_Toc46743507"/>
      <w:bookmarkEnd w:id="9"/>
      <w:r>
        <w:rPr/>
        <w:t xml:space="preserve">Цель </w:t>
      </w:r>
      <w:bookmarkEnd w:id="11"/>
      <w:r>
        <w:rPr/>
        <w:t>использования закупаемой продукции</w:t>
      </w:r>
      <w:bookmarkEnd w:id="10"/>
      <w:r>
        <w:rPr/>
        <w:t xml:space="preserve"> 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before="0" w:after="120"/>
        <w:ind w:left="0" w:right="0" w:hanging="0"/>
        <w:jc w:val="left"/>
        <w:rPr/>
      </w:pPr>
      <w:bookmarkStart w:id="12" w:name="__RefHeading___Toc9251_3273455298"/>
      <w:bookmarkEnd w:id="12"/>
      <w:r>
        <w:rPr>
          <w:rFonts w:eastAsia="Calibri"/>
          <w:color w:val="000000" w:themeColor="text1"/>
          <w:sz w:val="24"/>
          <w:szCs w:val="24"/>
        </w:rPr>
        <w:t>Обеспечение наличия в аварийном запасе комплектующих для систем возбуждения Нижне-Бурейской ГЭС, необходимых для ликвидации возможных отказов (аварий) оборудования, установленного на Нижне-Бурейской ГЭС. Устройства или детали (комплектующие) вышедшие из строя будут заменены в кратчайшие сроки на идентичное из аварийного запаса без разработки проектной и рабочей документации без изменения принципиальных и монтажных схем, без изменения существующего монтажа, без применения дополнительных материалов устройств оборудования, без разработки задания по настройки.</w:t>
      </w:r>
    </w:p>
    <w:p>
      <w:pPr>
        <w:pStyle w:val="Heading4"/>
        <w:numPr>
          <w:ilvl w:val="1"/>
          <w:numId w:val="1"/>
        </w:numPr>
        <w:ind w:left="426" w:firstLine="141"/>
        <w:rPr/>
      </w:pPr>
      <w:bookmarkStart w:id="13" w:name="__RefHeading___Toc9253_3273455298"/>
      <w:bookmarkEnd w:id="13"/>
      <w:r>
        <w:rPr/>
        <w:t>Существующее положение</w:t>
      </w:r>
    </w:p>
    <w:p>
      <w:pPr>
        <w:pStyle w:val="BodyText"/>
        <w:rPr>
          <w:sz w:val="24"/>
          <w:szCs w:val="24"/>
        </w:rPr>
      </w:pPr>
      <w:bookmarkStart w:id="14" w:name="__RefHeading___Toc9255_3273455298"/>
      <w:bookmarkEnd w:id="14"/>
      <w:r>
        <w:rPr>
          <w:sz w:val="24"/>
          <w:szCs w:val="24"/>
        </w:rPr>
        <w:t>Модуль формирователя импульсов ФИМ. ЛКЖС.468332.007 установлен в системе возбуждения СТС-345-1600-2.5 УХЛ4 Нижне-Бурейской ГЭС (Щит ЩВ-2Е-1600-600 УХЛ4) в секции управления и регулирования (АЕ4). В модулях формирователя импульсов выполняется усиление и высокочастотное заполнение импульсов управления небольшой мощности, поступающих из регуляторов ARV-4M ООО «АСУ-ВЭИ» соответствующих требованиям конструкторской документации 421417.033</w:t>
      </w:r>
    </w:p>
    <w:p>
      <w:pPr>
        <w:pStyle w:val="Normal"/>
        <w:shd w:val="clear" w:color="auto" w:fill="FFFFFF" w:themeFill="background1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shd w:val="clear" w:color="auto" w:fill="FFFFFF" w:themeFill="background1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Heading1"/>
        <w:numPr>
          <w:ilvl w:val="0"/>
          <w:numId w:val="1"/>
        </w:numPr>
        <w:ind w:left="284" w:firstLine="141"/>
        <w:jc w:val="center"/>
        <w:rPr>
          <w:sz w:val="24"/>
        </w:rPr>
      </w:pPr>
      <w:bookmarkStart w:id="15" w:name="__RefHeading___Toc9257_3273455298"/>
      <w:bookmarkStart w:id="16" w:name="_Toc210909347"/>
      <w:bookmarkStart w:id="17" w:name="_Toc51339693"/>
      <w:bookmarkStart w:id="18" w:name="_Hlk48209761"/>
      <w:bookmarkEnd w:id="15"/>
      <w:bookmarkEnd w:id="17"/>
      <w:bookmarkEnd w:id="18"/>
      <w:r>
        <w:rPr>
          <w:sz w:val="24"/>
        </w:rPr>
        <w:t>Требования к продукции</w:t>
      </w:r>
      <w:bookmarkEnd w:id="16"/>
    </w:p>
    <w:p>
      <w:pPr>
        <w:pStyle w:val="Heading1"/>
        <w:tabs>
          <w:tab w:val="clear" w:pos="0"/>
        </w:tabs>
        <w:ind w:left="0" w:hanging="0"/>
        <w:rPr>
          <w:sz w:val="24"/>
        </w:rPr>
      </w:pPr>
      <w:bookmarkStart w:id="19" w:name="__RefHeading___Toc9259_3273455298"/>
      <w:bookmarkStart w:id="20" w:name="_Toc210909348"/>
      <w:bookmarkStart w:id="21" w:name="_Toc51339695"/>
      <w:bookmarkEnd w:id="19"/>
      <w:r>
        <w:rPr>
          <w:sz w:val="24"/>
        </w:rPr>
        <w:t xml:space="preserve">Таблица 1.1 Перечень </w:t>
      </w:r>
      <w:bookmarkEnd w:id="21"/>
      <w:r>
        <w:rPr>
          <w:sz w:val="24"/>
        </w:rPr>
        <w:t>и объем закупаемой продукции</w:t>
      </w:r>
      <w:bookmarkEnd w:id="20"/>
    </w:p>
    <w:tbl>
      <w:tblPr>
        <w:tblW w:w="978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44"/>
        <w:gridCol w:w="5621"/>
        <w:gridCol w:w="1237"/>
        <w:gridCol w:w="1366"/>
        <w:gridCol w:w="1112"/>
      </w:tblGrid>
      <w:tr>
        <w:trPr>
          <w:trHeight w:val="525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ОКПД2</w:t>
            </w:r>
          </w:p>
        </w:tc>
      </w:tr>
      <w:tr>
        <w:trPr>
          <w:trHeight w:val="539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ФИМ ЛКЖС 468.332.007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26.20.30</w:t>
            </w:r>
          </w:p>
        </w:tc>
      </w:tr>
    </w:tbl>
    <w:p>
      <w:pPr>
        <w:pStyle w:val="Heading1"/>
        <w:tabs>
          <w:tab w:val="clear" w:pos="0"/>
        </w:tabs>
        <w:ind w:left="0" w:hanging="0"/>
        <w:rPr>
          <w:sz w:val="24"/>
        </w:rPr>
      </w:pPr>
      <w:r>
        <w:rPr>
          <w:sz w:val="24"/>
        </w:rPr>
      </w:r>
    </w:p>
    <w:p>
      <w:pPr>
        <w:pStyle w:val="Heading3"/>
        <w:numPr>
          <w:ilvl w:val="2"/>
          <w:numId w:val="1"/>
        </w:numPr>
        <w:ind w:left="426" w:firstLine="141"/>
        <w:rPr/>
      </w:pPr>
      <w:bookmarkStart w:id="22" w:name="__RefHeading___Toc9261_3273455298"/>
      <w:bookmarkStart w:id="23" w:name="_Toc210909349"/>
      <w:bookmarkStart w:id="24" w:name="_Toc51339696"/>
      <w:bookmarkEnd w:id="22"/>
      <w:r>
        <w:rPr/>
        <w:t xml:space="preserve">Требования </w:t>
      </w:r>
      <w:bookmarkEnd w:id="24"/>
      <w:r>
        <w:rPr/>
        <w:t>к срокам поставки продукции</w:t>
      </w:r>
      <w:bookmarkEnd w:id="23"/>
      <w:r>
        <w:rPr/>
        <w:t xml:space="preserve"> </w:t>
      </w:r>
    </w:p>
    <w:p>
      <w:pPr>
        <w:pStyle w:val="Heading1"/>
        <w:tabs>
          <w:tab w:val="clear" w:pos="0"/>
        </w:tabs>
        <w:ind w:left="0" w:hanging="0"/>
        <w:rPr>
          <w:sz w:val="24"/>
          <w:lang w:val="ru-RU"/>
        </w:rPr>
      </w:pPr>
      <w:bookmarkStart w:id="25" w:name="__RefHeading___Toc9263_3273455298"/>
      <w:bookmarkStart w:id="26" w:name="_Toc210909350"/>
      <w:bookmarkStart w:id="27" w:name="_Toc51339697"/>
      <w:bookmarkStart w:id="28" w:name="_Toc50125127"/>
      <w:bookmarkStart w:id="29" w:name="_Toc50125126"/>
      <w:bookmarkEnd w:id="25"/>
      <w:bookmarkEnd w:id="29"/>
      <w:r>
        <w:rPr>
          <w:sz w:val="24"/>
        </w:rPr>
        <w:t xml:space="preserve">Таблица </w:t>
      </w:r>
      <w:r>
        <w:rPr>
          <w:sz w:val="24"/>
          <w:lang w:val="ru-RU"/>
        </w:rPr>
        <w:t>2</w:t>
      </w:r>
      <w:r>
        <w:rPr>
          <w:sz w:val="24"/>
        </w:rPr>
        <w:t>.</w:t>
      </w:r>
      <w:r>
        <w:rPr>
          <w:sz w:val="24"/>
          <w:lang w:val="ru-RU"/>
        </w:rPr>
        <w:t>1</w:t>
      </w:r>
      <w:r>
        <w:rPr>
          <w:sz w:val="24"/>
        </w:rPr>
        <w:t xml:space="preserve"> </w:t>
      </w:r>
      <w:bookmarkStart w:id="30" w:name="_Hlk50465284"/>
      <w:r>
        <w:rPr>
          <w:sz w:val="24"/>
        </w:rPr>
        <w:t xml:space="preserve">Требования по срокам </w:t>
      </w:r>
      <w:bookmarkEnd w:id="27"/>
      <w:bookmarkEnd w:id="28"/>
      <w:bookmarkEnd w:id="30"/>
      <w:r>
        <w:rPr>
          <w:sz w:val="24"/>
          <w:lang w:val="ru-RU"/>
        </w:rPr>
        <w:t>поставки продукции</w:t>
      </w:r>
      <w:bookmarkEnd w:id="26"/>
      <w:r>
        <w:rPr>
          <w:sz w:val="24"/>
          <w:lang w:val="ru-RU"/>
        </w:rPr>
        <w:t xml:space="preserve"> </w:t>
      </w:r>
    </w:p>
    <w:tbl>
      <w:tblPr>
        <w:tblW w:w="9776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3"/>
        <w:gridCol w:w="2548"/>
        <w:gridCol w:w="2980"/>
        <w:gridCol w:w="3114"/>
      </w:tblGrid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№ </w:t>
            </w:r>
            <w:r>
              <w:rPr>
                <w:sz w:val="22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4"/>
                <w:highlight w:val="green"/>
              </w:rPr>
            </w:pPr>
            <w:r>
              <w:rPr>
                <w:bCs/>
                <w:color w:val="000000"/>
                <w:sz w:val="22"/>
                <w:szCs w:val="24"/>
              </w:rPr>
              <w:t>ТМЦ для обслуживания объектов Бурейской ГЭС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</w:rPr>
              <w:t>день, следующий за днем подписания Сторонами договора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в течение 210  (двести десять) календарных дней с даты </w:t>
            </w:r>
            <w:r>
              <w:rPr>
                <w:sz w:val="22"/>
                <w:szCs w:val="24"/>
              </w:rPr>
              <w:t>подписания договора</w:t>
            </w:r>
          </w:p>
          <w:p>
            <w:pPr>
              <w:pStyle w:val="Normal"/>
              <w:widowControl w:val="false"/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  <w:highlight w:val="yellow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ind w:left="426" w:firstLine="141"/>
        <w:rPr/>
      </w:pPr>
      <w:bookmarkStart w:id="31" w:name="__RefHeading___Toc9265_3273455298"/>
      <w:bookmarkStart w:id="32" w:name="_Toc51339698"/>
      <w:bookmarkStart w:id="33" w:name="_Toc210909351"/>
      <w:bookmarkStart w:id="34" w:name="_Toc46743511"/>
      <w:bookmarkEnd w:id="31"/>
      <w:r>
        <w:rPr/>
        <w:t xml:space="preserve">Требования к </w:t>
      </w:r>
      <w:bookmarkEnd w:id="34"/>
      <w:r>
        <w:rPr/>
        <w:t>качеству продукции</w:t>
      </w:r>
      <w:bookmarkEnd w:id="33"/>
    </w:p>
    <w:p>
      <w:pPr>
        <w:pStyle w:val="Heading1"/>
        <w:tabs>
          <w:tab w:val="clear" w:pos="0"/>
        </w:tabs>
        <w:ind w:left="0" w:hanging="0"/>
        <w:rPr>
          <w:sz w:val="24"/>
        </w:rPr>
      </w:pPr>
      <w:bookmarkStart w:id="35" w:name="__RefHeading___Toc9267_3273455298"/>
      <w:bookmarkEnd w:id="35"/>
      <w:r>
        <w:rPr/>
        <w:t xml:space="preserve"> </w:t>
      </w:r>
      <w:bookmarkStart w:id="36" w:name="_Toc210909352"/>
      <w:r>
        <w:rPr>
          <w:sz w:val="24"/>
        </w:rPr>
        <w:t>Таблица </w:t>
      </w:r>
      <w:r>
        <w:rPr>
          <w:sz w:val="24"/>
          <w:lang w:val="ru-RU"/>
        </w:rPr>
        <w:t>3</w:t>
      </w:r>
      <w:r>
        <w:rPr>
          <w:sz w:val="24"/>
        </w:rPr>
        <w:t xml:space="preserve">. Требования к </w:t>
      </w:r>
      <w:r>
        <w:rPr>
          <w:sz w:val="24"/>
          <w:lang w:val="ru-RU"/>
        </w:rPr>
        <w:t>продукции</w:t>
      </w:r>
      <w:bookmarkEnd w:id="32"/>
      <w:bookmarkEnd w:id="36"/>
      <w:r>
        <w:rPr>
          <w:sz w:val="24"/>
        </w:rPr>
        <w:t xml:space="preserve"> </w:t>
      </w:r>
    </w:p>
    <w:p>
      <w:pPr>
        <w:pStyle w:val="ListParagraph"/>
        <w:ind w:left="0" w:firstLine="346"/>
        <w:jc w:val="both"/>
        <w:rPr>
          <w:szCs w:val="28"/>
          <w:highlight w:val="green"/>
        </w:rPr>
      </w:pPr>
      <w:r>
        <w:rPr>
          <w:bCs/>
          <w:szCs w:val="28"/>
        </w:rPr>
        <w:t xml:space="preserve">Продукция должна быть новой, ранее не использованной, </w:t>
      </w:r>
      <w:r>
        <w:rPr>
          <w:szCs w:val="28"/>
        </w:rPr>
        <w:t>не бывшей в употреблении, не восстановленной после ремонта, не выставочным экземпляром, технически исправной.</w:t>
      </w:r>
    </w:p>
    <w:p>
      <w:pPr>
        <w:pStyle w:val="ListParagraph"/>
        <w:ind w:left="0" w:firstLine="346"/>
        <w:jc w:val="both"/>
        <w:rPr>
          <w:bCs/>
          <w:szCs w:val="28"/>
          <w:highlight w:val="green"/>
        </w:rPr>
      </w:pPr>
      <w:r>
        <w:rPr>
          <w:bCs/>
          <w:szCs w:val="28"/>
        </w:rPr>
        <w:t>По качеству и комплектности должна соответствовать действующим на момент поставки ТУ или ГОСТ, указанным в соответствующих сертификатах.</w:t>
      </w:r>
    </w:p>
    <w:p>
      <w:pPr>
        <w:pStyle w:val="Normal"/>
        <w:jc w:val="both"/>
        <w:rPr/>
      </w:pPr>
      <w:r>
        <w:rPr/>
      </w:r>
    </w:p>
    <w:tbl>
      <w:tblPr>
        <w:tblStyle w:val="affff9"/>
        <w:tblW w:w="15315" w:type="dxa"/>
        <w:jc w:val="left"/>
        <w:tblInd w:w="9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3"/>
        <w:gridCol w:w="3464"/>
        <w:gridCol w:w="4112"/>
        <w:gridCol w:w="2409"/>
        <w:gridCol w:w="1844"/>
        <w:gridCol w:w="2692"/>
      </w:tblGrid>
      <w:tr>
        <w:trPr/>
        <w:tc>
          <w:tcPr>
            <w:tcW w:w="79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46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411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25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9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46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11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7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4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1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9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Модуль ФИМ. ЛКЖС.468332.007 </w:t>
            </w:r>
          </w:p>
        </w:tc>
        <w:tc>
          <w:tcPr>
            <w:tcW w:w="41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Напряжение питания блока 24 V;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Соответствие требованиям конструкторской документации ЛКЖС.468332.007;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Совместимость с регулятором ARV-4М ООО «АСУ-ВЭИ» соответствующий требованиям конструкторской документации 421417.033.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9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6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09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9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Срок гарантии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Гарантийный срок на поставляемый Товар должен быть равен сроку, установленному заводом - изготовителем и начинает течь с даты подписания Сторонами накладной ТОРГ-12. Гарантийный срок может быть продлен в соответствии с условиями Договора. 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Предложение по сроку гарантии на оборудование и запасные части.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9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9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Документы, передаваемые вместе с ТМЦ</w:t>
            </w:r>
          </w:p>
        </w:tc>
        <w:tc>
          <w:tcPr>
            <w:tcW w:w="41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Поставщик обязан одновременно с передачей ТМЦ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товарную накладную унифицированной формы ТОРГ-12 в 2 экз.;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счет-фактура в 1 эк.; или УПД в 2 экз.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должен предоставить указанные документы на этапе поставки МТР на склад Заказчика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9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9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Требование к поставке МТР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Исполнитель обязан обеспечить поставку указанных ТМЦ в место поставки: 676730, Амурская область, Бурейский округ, пгт Талакан, База флота, склад ТМЦ Бурейской ГЭС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260" w:leader="none"/>
        </w:tabs>
        <w:rPr>
          <w:rFonts w:eastAsia="Calibri"/>
          <w:bCs/>
          <w:i/>
          <w:i/>
          <w:sz w:val="24"/>
          <w:szCs w:val="24"/>
        </w:rPr>
      </w:pPr>
      <w:r>
        <w:rPr/>
        <w:tab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orient="landscape" w:w="16838" w:h="11906"/>
      <w:pgMar w:left="567" w:right="1134" w:gutter="0" w:header="680" w:top="1418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0070139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349186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1" w:hanging="94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 w:qFormat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link w:val="2"/>
    <w:qFormat/>
    <w:rsid w:val="00ea61a8"/>
    <w:pPr>
      <w:tabs>
        <w:tab w:val="clear" w:pos="0"/>
      </w:tabs>
      <w:outlineLvl w:val="1"/>
    </w:pPr>
    <w:rPr/>
  </w:style>
  <w:style w:type="paragraph" w:styleId="Heading3">
    <w:name w:val="Heading 3"/>
    <w:basedOn w:val="Normal"/>
    <w:link w:val="3"/>
    <w:autoRedefine/>
    <w:qFormat/>
    <w:rsid w:val="007675b0"/>
    <w:pPr>
      <w:keepNext w:val="true"/>
      <w:tabs>
        <w:tab w:val="clear" w:pos="708"/>
        <w:tab w:val="left" w:pos="0" w:leader="none"/>
      </w:tabs>
      <w:spacing w:before="120" w:after="60"/>
      <w:ind w:left="426" w:firstLine="141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8b34f6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7675b0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link w:val="3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FollowedHyperlink">
    <w:name w:val="FollowedHyperlink"/>
    <w:basedOn w:val="DefaultParagraphFont"/>
    <w:semiHidden/>
    <w:unhideWhenUsed/>
    <w:rsid w:val="00f57cd6"/>
    <w:rPr>
      <w:color w:val="954F72" w:themeColor="followedHyperlink"/>
      <w:u w:val="single"/>
    </w:rPr>
  </w:style>
  <w:style w:type="character" w:styleId="Style16" w:customStyle="1">
    <w:name w:val="Нижний колонтитул Знак"/>
    <w:basedOn w:val="DefaultParagraphFont"/>
    <w:uiPriority w:val="99"/>
    <w:qFormat/>
    <w:rsid w:val="006f14b1"/>
    <w:rPr>
      <w:sz w:val="28"/>
      <w:szCs w:val="2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Normal"/>
    <w:qFormat/>
    <w:pPr>
      <w:suppressLineNumbers/>
    </w:pPr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qFormat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autoRedefine/>
    <w:uiPriority w:val="39"/>
    <w:rsid w:val="00416c69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12" w:customStyle="1">
    <w:name w:val="Основной текст с отступом 3 Знак1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B4F7-6D1E-44F0-9B4D-66972FD1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AlterOffice/3.4.0.9$Linux_X86_64 LibreOffice_project/b8daf9e823b1a5463a2f48435ddc2e8696e7d4fc</Application>
  <AppVersion>15.0000</AppVersion>
  <Pages>6</Pages>
  <Words>650</Words>
  <Characters>4529</Characters>
  <CharactersWithSpaces>5061</CharactersWithSpaces>
  <Paragraphs>121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2025-10-09T04:39:00Z</dcterms:created>
  <dc:creator>Быстров Олег Геннадьевич</dc:creator>
  <dc:description/>
  <dc:language>ru-RU</dc:language>
  <cp:lastModifiedBy>Александр Александрович Чи-Гун-чжи</cp:lastModifiedBy>
  <cp:lastPrinted>2023-01-30T02:11:00Z</cp:lastPrinted>
  <dcterms:modified xsi:type="dcterms:W3CDTF">2026-03-25T13:55:43Z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