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eastAsia="Calibri"/>
          <w:b/>
          <w:bCs/>
          <w:color w:val="000000"/>
          <w:lang w:eastAsia="zh-CN"/>
        </w:rPr>
        <w:t>ТЕХНИЧЕСКИЕ ТРЕБОВАНИЯ</w:t>
      </w:r>
    </w:p>
    <w:p>
      <w:pPr>
        <w:pStyle w:val="Normal"/>
        <w:jc w:val="center"/>
        <w:rPr/>
      </w:pPr>
      <w:r>
        <w:rPr>
          <w:rFonts w:eastAsia="Calibri"/>
          <w:b/>
          <w:bCs/>
          <w:color w:val="000000"/>
          <w:lang w:eastAsia="zh-CN"/>
        </w:rPr>
        <w:t>на выполнение работ по обследованию и испытанию мостового перехода на головном узле Чирюртской ГЭС-1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b/>
          <w:sz w:val="24"/>
          <w:szCs w:val="24"/>
        </w:rPr>
        <w:t>Лот № 41077625-ЭКСП ПРОД-2026-ДФ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Каспийск 2026г.</w:t>
      </w:r>
      <w:r>
        <w:br w:type="page"/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737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rStyle w:val="Style14"/>
              <w:rFonts w:eastAsia="Calibri"/>
            </w:rPr>
            <w:instrText xml:space="preserve"> TOC \o "1-4" \h</w:instrText>
          </w:r>
          <w:r>
            <w:rPr>
              <w:rStyle w:val="Style14"/>
              <w:rFonts w:eastAsia="Calibri"/>
            </w:rPr>
            <w:fldChar w:fldCharType="separate"/>
          </w:r>
          <w:hyperlink w:anchor="_Toc194666380">
            <w:r>
              <w:rPr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81">
            <w:r>
              <w:rPr>
                <w:rStyle w:val="Style14"/>
                <w:rFonts w:eastAsia="Calibri"/>
                <w:iCs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82">
            <w:r>
              <w:rPr>
                <w:rStyle w:val="Style14"/>
                <w:rFonts w:eastAsia="Calibri"/>
                <w:iCs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sz w:val="22"/>
                <w:szCs w:val="22"/>
              </w:rPr>
              <w:t>Наименование закупаемой услуги.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83">
            <w:r>
              <w:rPr>
                <w:rStyle w:val="Style14"/>
                <w:rFonts w:eastAsia="Calibri"/>
                <w:iCs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sz w:val="22"/>
                <w:szCs w:val="22"/>
              </w:rPr>
              <w:t>Заказчик (подразделение Заказчика)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84">
            <w:r>
              <w:rPr>
                <w:rStyle w:val="Style14"/>
                <w:rFonts w:eastAsia="Calibri"/>
                <w:iCs/>
              </w:rPr>
              <w:t>1.4.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sz w:val="22"/>
                <w:szCs w:val="22"/>
              </w:rPr>
              <w:t>Цель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85">
            <w:r>
              <w:rPr>
                <w:rStyle w:val="Style14"/>
                <w:rFonts w:eastAsia="Calibri"/>
                <w:iCs/>
              </w:rPr>
              <w:t xml:space="preserve">1.5. 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>Информация в отношении исполнения договора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rStyle w:val="Style14"/>
                <w:rFonts w:eastAsia="Calibri"/>
              </w:rPr>
              <w:t>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737" w:leader="none"/>
              <w:tab w:val="right" w:pos="9911" w:leader="dot"/>
            </w:tabs>
            <w:rPr/>
          </w:pPr>
          <w:hyperlink w:anchor="_Toc194666386">
            <w:r>
              <w:rPr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 w:cs="Arial"/>
                <w:b w:val="false"/>
                <w:bCs w:val="false"/>
                <w:iCs/>
                <w:sz w:val="22"/>
                <w:szCs w:val="22"/>
              </w:rPr>
              <w:t>Требования к работе.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87">
            <w:r>
              <w:rPr>
                <w:rStyle w:val="Style14"/>
                <w:rFonts w:eastAsia="Calibri"/>
                <w:iCs/>
              </w:rPr>
              <w:t xml:space="preserve">2.1. </w:t>
            </w:r>
            <w:r>
              <w:rPr>
                <w:rStyle w:val="Style14"/>
                <w:rFonts w:eastAsia="新細明體" w:cs="Arial" w:cstheme="minorBidi" w:eastAsiaTheme="minorEastAsia"/>
                <w:sz w:val="22"/>
                <w:szCs w:val="22"/>
              </w:rPr>
              <w:t>Требования к объемам выполнения работ:</w:t>
            </w:r>
            <w:r>
              <w:rPr>
                <w:rStyle w:val="Style14"/>
                <w:rFonts w:eastAsia="Calibri"/>
              </w:rPr>
              <w:t>.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2.2.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sz w:val="22"/>
                <w:szCs w:val="22"/>
              </w:rPr>
              <w:t>Требования к срокам оказания работ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2.3.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Общие требования к выполнению работ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2.4.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Основные виды работ по обследованию несущих конструкций мостового перехода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2.5.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Требования к способам выполнения работ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2.6.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Основные виды работ по обследованию несущих конструкций мостового перехода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2.7.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Основные виды работ по обследованию несущих конструкций мостового переходаКвалификация персонала Исполнителя, привлекаемого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2.8.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</w:hyperlink>
          <w:hyperlink w:anchor="_Toc1946663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Дополнительные условия</w:t>
            </w:r>
            <w:r>
              <w:rPr>
                <w:webHidden/>
              </w:rPr>
              <w:fldChar w:fldCharType="end"/>
            </w:r>
          </w:hyperlink>
          <w:hyperlink w:anchor="_Toc19466639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94666390">
            <w:r>
              <w:rPr>
                <w:rStyle w:val="Style14"/>
                <w:rFonts w:eastAsia="Calibri"/>
                <w:iCs/>
              </w:rPr>
              <w:t>2.9.</w:t>
            </w:r>
            <w:r>
              <w:rPr>
                <w:rStyle w:val="Style14"/>
                <w:rFonts w:eastAsia="新細明體" w:cs="Arial" w:cstheme="minorBidi" w:eastAsiaTheme="minorEastAsia"/>
                <w:iCs/>
                <w:sz w:val="22"/>
                <w:szCs w:val="22"/>
              </w:rPr>
              <w:t xml:space="preserve"> </w:t>
            </w:r>
            <w:r>
              <w:rPr>
                <w:rStyle w:val="Style14"/>
                <w:rFonts w:eastAsia="Calibri" w:cs="Arial"/>
                <w:iCs/>
                <w:sz w:val="22"/>
                <w:szCs w:val="22"/>
              </w:rPr>
              <w:t>Перечень документов, передаваемые Заказчику по результатам выполненных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_Toc194666390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4"/>
        <w:tabs>
          <w:tab w:val="clear" w:pos="708"/>
          <w:tab w:val="right" w:pos="9921" w:leader="dot"/>
        </w:tabs>
        <w:rPr/>
      </w:pPr>
      <w:r>
        <w:rPr/>
      </w:r>
    </w:p>
    <w:p>
      <w:pPr>
        <w:pStyle w:val="Normal"/>
        <w:tabs>
          <w:tab w:val="clear" w:pos="708"/>
          <w:tab w:val="left" w:pos="1120" w:leader="none"/>
          <w:tab w:val="right" w:pos="9911" w:leader="dot"/>
        </w:tabs>
        <w:rPr/>
      </w:pPr>
      <w:r>
        <w:rPr/>
      </w:r>
    </w:p>
    <w:p>
      <w:pPr>
        <w:pStyle w:val="TOC4"/>
        <w:tabs>
          <w:tab w:val="clear" w:pos="708"/>
          <w:tab w:val="right" w:pos="9921" w:leader="dot"/>
        </w:tabs>
        <w:rPr/>
      </w:pPr>
      <w:r>
        <w:rPr/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397" w:hanging="340"/>
        <w:jc w:val="center"/>
        <w:rPr/>
      </w:pPr>
      <w:bookmarkStart w:id="0" w:name="_Toc194666380"/>
      <w:bookmarkStart w:id="1" w:name="_Toc51339692"/>
      <w:bookmarkStart w:id="2" w:name="_Toc146795721"/>
      <w:r>
        <w:rPr/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46743505"/>
      <w:bookmarkStart w:id="4" w:name="_Toc146795722"/>
      <w:bookmarkStart w:id="5" w:name="_Toc194666381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Гидротехнические сооружения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1.2. Наименование закупаемой услуги.</w:t>
      </w:r>
    </w:p>
    <w:p>
      <w:pPr>
        <w:pStyle w:val="BodyText"/>
        <w:ind w:right="23" w:hanging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Обследование и испытание мостового перехода на головном узле Чирюртской ГЭС-1.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1.3. Заказчик (подразделение Заказчика).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Филиал ПАО «РусГидро» - «Дагестанский филиал».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1.4. Цель.</w:t>
      </w:r>
    </w:p>
    <w:p>
      <w:pPr>
        <w:pStyle w:val="BodyText"/>
        <w:spacing w:before="0" w:after="0"/>
        <w:ind w:right="21" w:hanging="0"/>
        <w:jc w:val="both"/>
        <w:rPr/>
      </w:pPr>
      <w:r>
        <w:rPr>
          <w:color w:val="000000"/>
          <w:sz w:val="24"/>
          <w:szCs w:val="24"/>
        </w:rPr>
        <w:t xml:space="preserve">2.1. Целью работы является обеспечение безопасности эксплуатации мостового перехода и разработка мероприятий по повышению уровня его безопасности. 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b/>
          <w:color w:val="000000"/>
          <w:sz w:val="24"/>
          <w:szCs w:val="24"/>
        </w:rPr>
        <w:t>1.5. Информация в отношении исполнения договора (в том числе перечень ресурсов, услуг и документов, предоставляемых Заказчиком на этапе исполнения договора).</w:t>
      </w:r>
    </w:p>
    <w:p>
      <w:pPr>
        <w:pStyle w:val="BodyText"/>
        <w:spacing w:before="0" w:after="0"/>
        <w:ind w:right="21" w:hanging="0"/>
        <w:jc w:val="both"/>
        <w:rPr/>
      </w:pPr>
      <w:r>
        <w:rPr>
          <w:color w:val="000000"/>
          <w:sz w:val="24"/>
          <w:szCs w:val="24"/>
        </w:rPr>
        <w:t>Заказчик предоставляет исполнителю возможность подключения к источникам электроснабжения и водоснабжения в соответствии с запросом Исполнителя.</w:t>
      </w:r>
    </w:p>
    <w:p>
      <w:pPr>
        <w:pStyle w:val="Heading1"/>
        <w:numPr>
          <w:ilvl w:val="0"/>
          <w:numId w:val="3"/>
        </w:numPr>
        <w:ind w:left="357" w:hanging="357"/>
        <w:jc w:val="center"/>
        <w:rPr/>
      </w:pPr>
      <w:bookmarkStart w:id="6" w:name="_Toc146795728"/>
      <w:bookmarkStart w:id="7" w:name="_Toc51339693"/>
      <w:bookmarkStart w:id="8" w:name="_Toc194666386"/>
      <w:bookmarkStart w:id="9" w:name="_Toc50125126"/>
      <w:bookmarkStart w:id="10" w:name="_Toc46743510"/>
      <w:bookmarkStart w:id="11" w:name="_Hlk48209761_Копия_1"/>
      <w:bookmarkEnd w:id="9"/>
      <w:bookmarkEnd w:id="10"/>
      <w:bookmarkEnd w:id="11"/>
      <w:r>
        <w:rPr>
          <w:iCs/>
          <w:sz w:val="24"/>
          <w:szCs w:val="24"/>
        </w:rPr>
        <w:t xml:space="preserve">Требования к </w:t>
      </w:r>
      <w:bookmarkEnd w:id="6"/>
      <w:bookmarkEnd w:id="7"/>
      <w:bookmarkEnd w:id="8"/>
      <w:r>
        <w:rPr>
          <w:iCs/>
          <w:sz w:val="24"/>
          <w:szCs w:val="24"/>
          <w:lang w:val="ru-RU"/>
        </w:rPr>
        <w:t>работе.</w:t>
      </w:r>
    </w:p>
    <w:p>
      <w:pPr>
        <w:pStyle w:val="BodyText"/>
        <w:spacing w:before="0" w:after="0"/>
        <w:ind w:firstLine="73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2.1 Требования к объемам выполнения работ:</w:t>
      </w:r>
    </w:p>
    <w:p>
      <w:pPr>
        <w:pStyle w:val="BodyText"/>
        <w:spacing w:before="0" w:after="0"/>
        <w:jc w:val="both"/>
        <w:rPr/>
      </w:pPr>
      <w:r>
        <w:rPr>
          <w:sz w:val="24"/>
          <w:szCs w:val="24"/>
        </w:rPr>
        <w:t>1.Определение максимальной возможной нагрузки на мостовой переход с учетом веса автомобильного крана GROVE GMK 5100 грузоподъемностью 100 т и определение максимально возможного веса монтируемого оборудования.</w:t>
      </w:r>
    </w:p>
    <w:p>
      <w:pPr>
        <w:pStyle w:val="BodyText"/>
        <w:spacing w:before="0" w:after="0"/>
        <w:jc w:val="both"/>
        <w:rPr/>
      </w:pPr>
      <w:r>
        <w:rPr>
          <w:sz w:val="24"/>
          <w:szCs w:val="24"/>
        </w:rPr>
        <w:t xml:space="preserve">2.Выполнить обследование и испытание мостового перехода; </w:t>
      </w:r>
    </w:p>
    <w:p>
      <w:pPr>
        <w:pStyle w:val="BodyText"/>
        <w:spacing w:before="0" w:after="0"/>
        <w:jc w:val="both"/>
        <w:rPr/>
      </w:pPr>
      <w:r>
        <w:rPr>
          <w:sz w:val="24"/>
          <w:szCs w:val="24"/>
        </w:rPr>
        <w:t>3.Разработать и согласовать с Заказчиком программу обследования и испытаний;</w:t>
      </w:r>
    </w:p>
    <w:p>
      <w:pPr>
        <w:pStyle w:val="BodyText"/>
        <w:spacing w:before="0" w:after="0"/>
        <w:jc w:val="both"/>
        <w:rPr/>
      </w:pPr>
      <w:r>
        <w:rPr>
          <w:sz w:val="24"/>
          <w:szCs w:val="24"/>
        </w:rPr>
        <w:t>4. Провести испытания конструкций (мостового перехода);</w:t>
      </w:r>
    </w:p>
    <w:p>
      <w:pPr>
        <w:pStyle w:val="BodyText"/>
        <w:spacing w:before="0" w:after="0"/>
        <w:jc w:val="both"/>
        <w:rPr/>
      </w:pPr>
      <w:r>
        <w:rPr>
          <w:sz w:val="24"/>
          <w:szCs w:val="24"/>
        </w:rPr>
        <w:t>5. Обработка результатов обследования и испытаний;</w:t>
      </w:r>
    </w:p>
    <w:p>
      <w:pPr>
        <w:pStyle w:val="BodyText"/>
        <w:spacing w:before="0" w:after="0"/>
        <w:jc w:val="both"/>
        <w:rPr/>
      </w:pPr>
      <w:r>
        <w:rPr>
          <w:sz w:val="24"/>
          <w:szCs w:val="24"/>
        </w:rPr>
        <w:t>6. Составление технического отчета;</w:t>
      </w:r>
    </w:p>
    <w:p>
      <w:pPr>
        <w:pStyle w:val="BodyText"/>
        <w:spacing w:before="0" w:after="0"/>
        <w:ind w:firstLine="737"/>
        <w:jc w:val="both"/>
        <w:rPr>
          <w:b/>
          <w:bCs/>
        </w:rPr>
      </w:pPr>
      <w:r>
        <w:rPr>
          <w:b/>
          <w:bCs/>
          <w:sz w:val="24"/>
          <w:szCs w:val="24"/>
        </w:rPr>
        <w:t>2.2. Требования к срокам оказания работ:</w:t>
      </w:r>
    </w:p>
    <w:p>
      <w:pPr>
        <w:pStyle w:val="BodyText"/>
        <w:spacing w:before="0" w:after="0"/>
        <w:ind w:right="21" w:hanging="0"/>
        <w:jc w:val="both"/>
        <w:rPr>
          <w:sz w:val="24"/>
          <w:szCs w:val="24"/>
        </w:rPr>
      </w:pPr>
      <w:r>
        <w:rPr>
          <w:sz w:val="24"/>
          <w:szCs w:val="24"/>
        </w:rPr>
        <w:t>1.Требования по срокам оказания работ на выполнение работ по обследованию и испытанию мостового перехода на головном узле Чирюртской ГЭС-1.</w:t>
      </w:r>
    </w:p>
    <w:p>
      <w:pPr>
        <w:pStyle w:val="BodyText"/>
        <w:spacing w:before="0" w:after="0"/>
        <w:ind w:right="21" w:hanging="0"/>
        <w:jc w:val="both"/>
        <w:rPr>
          <w:sz w:val="24"/>
          <w:szCs w:val="24"/>
        </w:rPr>
      </w:pPr>
      <w:r>
        <w:rPr>
          <w:sz w:val="24"/>
          <w:szCs w:val="24"/>
        </w:rPr>
        <w:t>2.Требования к началу срока оказания работ - с даты подписания договора</w:t>
      </w:r>
    </w:p>
    <w:p>
      <w:pPr>
        <w:pStyle w:val="BodyText"/>
        <w:spacing w:before="0" w:after="0"/>
        <w:ind w:right="21" w:hanging="0"/>
        <w:jc w:val="both"/>
        <w:rPr>
          <w:sz w:val="24"/>
          <w:szCs w:val="24"/>
        </w:rPr>
      </w:pPr>
      <w:r>
        <w:rPr>
          <w:sz w:val="24"/>
          <w:szCs w:val="24"/>
        </w:rPr>
        <w:t>3.Требования к окончанию срока оказания работ.</w:t>
      </w:r>
    </w:p>
    <w:p>
      <w:pPr>
        <w:pStyle w:val="BodyText"/>
        <w:spacing w:before="0" w:after="0"/>
        <w:ind w:firstLine="737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2.3. Общие требования к выполнению работ: 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Вся документация разрабатывается в соответствии с национальными, отраслевыми и корпоративными (ПАО «РусГидро») нормативно-техническими документами: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Правила технической эксплуатации электрических станций и сетей (действующее издание);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от 30.12.2009 №384-ФЗ “Технический регламент о безопасности зданий и сооружений” (Распоряжение правительства РФ № 1047- р от 21.06.2010г);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Федеральный закон от 21.07.1997 № 116-ФЗ «О промышленной безопасности опасных производственных объектов»;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Федеральный закон от 26.06.2008 № 102-ФЗ «Об обеспечении единства измерений»;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ГОСТ 31937-2024 Здания и сооружения. Правила обследования и мониторинга технического состояния;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ГОСТ 21.301-2021 Система проектной документации для строительства. Правила выполнения отчетной технической документации по инженерным изысканиям;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СП 13-102-2003 «Правила обследования несущих строительных конструкций зданий и сооружений»;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РД 22-01-97 «Экспертиза промышленной безопасности»; 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РД 03-606-03 «Инструкция по визуальному и измерительному контролю»;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СП 70.13330.2012  «Несущие и ограждающие конструкции»;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СП16.13330.2017 «Нагрузки и воздействия». Приложения Е.2.4;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ГОСТ Р 18105-2018 «Бетоны. Правила контроля и оценки прочности»;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ГОСТ 28570-2019 «Бетоны. Методы определения прочности по контрольным образцам»;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СП 13-102-2003 «Правила обследования несущих строительных конструкций зданий и сооружений»;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РД 22-01-97 «Экспертиза промышленной безопасности»;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Руководство по безопасности «Методические рекомендации о порядке проведения визуального и измерительного контроля»;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РД 03-606-03 «Инструкция по визуальному и измерительному контролю»;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СТО РусГидро 0203.129-2015 «Методические указания по организации обследований гидроэнергетических объектов»;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СТО РусГидро 02.03.130-2015 Гидроэлектростанции. Техническое освидетельствование зданий, сооружений, основного, вспомогательного оборудования и технологических систем. Нормы и требования;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>СП 79.13330.2012 «Мосты и трубы. Правила обследований и испытаний» (актуализированная редакция СНиП 3.06.07-86 «Мосты и трубы. Правила обследований и испытаний»).</w:t>
      </w:r>
    </w:p>
    <w:p>
      <w:pPr>
        <w:pStyle w:val="BodyText"/>
        <w:spacing w:before="0" w:after="0"/>
        <w:ind w:firstLine="7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2.4. Основные виды работ по обследованию </w:t>
      </w:r>
      <w:bookmarkStart w:id="12" w:name="_GoBack_Копия_3"/>
      <w:bookmarkEnd w:id="12"/>
      <w:r>
        <w:rPr>
          <w:b/>
          <w:bCs/>
          <w:sz w:val="24"/>
          <w:szCs w:val="24"/>
        </w:rPr>
        <w:t>несущих конструкций мостового перехода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1 Выполнение обмерных чертежей по результатам фактических замеров;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2 Инструментальное определение параметров дефектов и повреждений, анализ причин появления дефектов и схемы их расположения, рекомендации по их устранению;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3 Определение фактических прочностных характеристик материалов основных несущих конструкций и их элементов;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4 Исследование качества материалов несущих конструкций с использованием неразрушающих методов контроля;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5 Определение армирования железобетонных конструкций;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6 Обследование стальных конструкций;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7 Определение фактических эксплуатационных нагрузок и воздействий, воспринимаемых обследуемыми конструкциями;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8 Определение фактической расчетной схемы;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9 Уточнение геометрических размеров конструкций и сечений элементов;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10 Определение расчетных усилий, воспринимающих эксплуатационные нагрузки от автомобильного крана и монтируемого элемента;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7.11 Выполнение поверочных расчетов конструкций;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7.12 Выполнение испытаний конструкций мостового перехода;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7.13 Составление технического отчета с выводами по результатам обследования и испытаний.</w:t>
      </w:r>
    </w:p>
    <w:p>
      <w:pPr>
        <w:pStyle w:val="BodyText"/>
        <w:spacing w:before="0" w:after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2.5. Требования к способам выполнения работ: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1. Все необходимые работы (включая необходимое оборудование и технику, материалы, аппаратуру) организуются и оказываются Исполнителем за счёт собственных средств.</w:t>
      </w:r>
    </w:p>
    <w:p>
      <w:pPr>
        <w:pStyle w:val="BodyText"/>
        <w:spacing w:before="0" w:after="0"/>
        <w:jc w:val="both"/>
        <w:rPr/>
      </w:pPr>
      <w:r>
        <w:rPr>
          <w:b/>
          <w:bCs/>
          <w:sz w:val="24"/>
          <w:szCs w:val="24"/>
        </w:rPr>
        <w:t xml:space="preserve">         </w:t>
      </w:r>
    </w:p>
    <w:p>
      <w:pPr>
        <w:pStyle w:val="BodyText"/>
        <w:spacing w:before="0" w:after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>2.6. Требования к Исполнителю:</w:t>
      </w:r>
    </w:p>
    <w:p>
      <w:pPr>
        <w:pStyle w:val="BodyText"/>
        <w:spacing w:before="0" w:after="0"/>
        <w:jc w:val="both"/>
        <w:rPr>
          <w:b/>
          <w:bCs/>
        </w:rPr>
      </w:pPr>
      <w:r>
        <w:rPr>
          <w:b/>
          <w:bCs/>
          <w:sz w:val="24"/>
          <w:szCs w:val="24"/>
        </w:rPr>
        <w:t>Требования к материально- техническому оснащению: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1. Для выполнения работ необходимо наличие у Исполнителя (на правах собственности аренды / лизинга / ином законном праве владения) следующих приборов и оборудования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2. прибор для исследования состояния и прочности металла - не менее 1 шт.,3.  прибор для исследования состояния сварных швов - не менее 1 шт.;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4. прибор для измерения прочности бетона несущих конструкций перекрытия неразрушающими методами - не менее 1 шт.;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5. прибор для исследования защитных и пассирующих свойств бетона к арматурному каркасу и рабочей арматуры железобетонных конструкций - не менее 1 шт.;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6 строений - не менее 1 ко</w:t>
      </w:r>
      <w:bookmarkStart w:id="13" w:name="_GoBack"/>
      <w:bookmarkEnd w:id="13"/>
      <w:r>
        <w:rPr>
          <w:sz w:val="24"/>
          <w:szCs w:val="24"/>
        </w:rPr>
        <w:t>мпл.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7. Оборудование должно быть аттестовано, приборы проверены.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8. До начала проведения работ в рамках исполнения договора после его заключения Исполнитель предоставляет список материально-технических ресурсов и свидетельства об аттестации и поверке.</w:t>
      </w:r>
    </w:p>
    <w:p>
      <w:pPr>
        <w:pStyle w:val="BodyText"/>
        <w:spacing w:before="0" w:after="0"/>
        <w:jc w:val="both"/>
        <w:rPr>
          <w:b/>
          <w:bCs/>
        </w:rPr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2.7. Квалификация персонала Исполнителя, привлекаемого к оказанию услуг: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1. Выполнение работ должно осуществляться силами инженерно-технических работников (не менее 3 человек), имеющих высшее образование по специальности «Промышленное и гражданское строительство», «Строительство», «Городское строительство и хозяйство», «Гидротехническое строительство», «Мосты и транспортные тоннели».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2. Персонала (из числа, указанного в пункте 1, имеющего право быть при работах по наряду- допуску и распоряжению: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ответственным лицом за безопасное ведение работ (выдающий наряд, распоряжение) - не менее 2 человек, в т.ч. не менее 1 человека с группой электробезопасности не ниже IV;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- ответственным руководителем работ с группой по электробезопасности IV - не менее 1 человека.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3. До начала проведения работ в рамках исполнения договора после его заключения Исполнитель предоставляет список персонала с указанием сведений о квалификации персонала, группе по электробезопасности, с приложением копий дипломов и копий удостоверений (возможно совмещение специальностей).</w:t>
      </w:r>
    </w:p>
    <w:p>
      <w:pPr>
        <w:pStyle w:val="BodyText"/>
        <w:spacing w:before="0" w:after="0"/>
        <w:jc w:val="both"/>
        <w:rPr/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>2.8. Дополнительные условия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11.1 При недопустимом техническом состоянии конструкций мостового перехода выдать необходимые рекомендации и мероприятия по их восстановлению и усилению</w:t>
      </w:r>
    </w:p>
    <w:p>
      <w:pPr>
        <w:pStyle w:val="BodyText"/>
        <w:spacing w:before="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2.9. Перечень документов, передаваемые Заказчику по результатам выполненных работ: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12.1. Результаты выполненных работ представляются в виде технического отчёта.</w:t>
      </w:r>
    </w:p>
    <w:p>
      <w:pPr>
        <w:pStyle w:val="BodyText"/>
        <w:spacing w:before="0" w:after="0"/>
        <w:jc w:val="both"/>
        <w:rPr>
          <w:sz w:val="24"/>
          <w:szCs w:val="24"/>
        </w:rPr>
      </w:pPr>
      <w:r>
        <w:rPr/>
        <w:t>12.2. Технический отчет представлять на бумажном (в 2-х экз.) и на электронном носителях в редактируемом формате и в виде сканированного варианта бумажного носителя в формате PDF.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0"/>
        </w:numPr>
        <w:spacing w:before="120" w:after="60"/>
        <w:ind w:left="0" w:hanging="0"/>
        <w:jc w:val="both"/>
        <w:rPr>
          <w:rFonts w:eastAsia="Times New Roman"/>
          <w:i/>
          <w:i/>
          <w:iCs/>
          <w:caps/>
          <w:shd w:fill="FFFF99" w:val="clear"/>
          <w:lang w:val="ru-RU" w:eastAsia="ru-RU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737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2a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111" w:customStyle="1">
    <w:name w:val="index heading111"/>
    <w:basedOn w:val="14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tabs>
        <w:tab w:val="clear" w:pos="708"/>
        <w:tab w:val="right" w:pos="9921" w:leader="dot"/>
      </w:tabs>
      <w:ind w:left="73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MS Mincho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27158847861" w:customStyle="1">
    <w:name w:val="27158847861"/>
    <w:qFormat/>
  </w:style>
  <w:style w:type="numbering" w:styleId="23453857671" w:customStyle="1">
    <w:name w:val="23453857671"/>
    <w:qFormat/>
  </w:style>
  <w:style w:type="numbering" w:styleId="13547215761" w:customStyle="1">
    <w:name w:val="13547215761"/>
    <w:qFormat/>
  </w:style>
  <w:style w:type="numbering" w:styleId="18185532961" w:customStyle="1">
    <w:name w:val="181855329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F5DB2595B8E74C9D79098FEDD1EBAA" ma:contentTypeVersion="0" ma:contentTypeDescription="Создание документа." ma:contentTypeScope="" ma:versionID="12273403293a4fa88709c2000d677d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E559-4857-4A7B-BB96-DEA29C682C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14BDD-85ED-4876-8907-18386665A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8AE30B-932C-44FA-9F22-2C6786269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5DF1BE-96BA-4F1F-BBE8-03CF2F98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AlterOffice/2025.2.1.0$Linux_X86_64 LibreOffice_project/d2c615264c9535987c375e0f04a158be6015ce3d</Application>
  <AppVersion>15.0000</AppVersion>
  <Pages>7</Pages>
  <Words>1109</Words>
  <Characters>7866</Characters>
  <CharactersWithSpaces>8973</CharactersWithSpaces>
  <Paragraphs>110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2025-04-01T08:56:00Z</dcterms:created>
  <dc:creator>Быстров Олег Геннадьевич</dc:creator>
  <dc:description/>
  <dc:language>ru-RU</dc:language>
  <cp:lastModifiedBy>musalaevmm@corp.gidroogk.com</cp:lastModifiedBy>
  <cp:lastPrinted>2026-04-22T09:32:00Z</cp:lastPrinted>
  <dcterms:modified xsi:type="dcterms:W3CDTF">2026-05-25T14:56:01Z</dcterms:modified>
  <cp:revision>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0x010100CBF5DB2595B8E74C9D79098FEDD1EBAA</vt:lpwstr>
  </property>
</Properties>
</file>