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media/image1.wmf" ContentType="image/x-wmf"/>
  <Override PartName="/word/header15.xml" ContentType="application/vnd.openxmlformats-officedocument.wordprocessingml.header+xml"/>
  <Override PartName="/word/embeddings/oleObject1.xlsx" ContentType="application/vnd.openxmlformats-officedocument.spreadsheetml.sheet"/>
  <Override PartName="/word/header8.xml" ContentType="application/vnd.openxmlformats-officedocument.wordprocessingml.header+xml"/>
  <Override PartName="/word/header11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6.xml" ContentType="application/vnd.openxmlformats-officedocument.wordprocessingml.head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2"/>
        <w:spacing w:lineRule="auto" w:line="240" w:before="0" w:after="0"/>
        <w:ind w:left="5398" w:hanging="0"/>
        <w:jc w:val="right"/>
        <w:rPr>
          <w:b/>
          <w:sz w:val="24"/>
          <w:szCs w:val="24"/>
        </w:rPr>
      </w:pPr>
      <w:bookmarkStart w:id="0" w:name="_Toc51339699_Копия_1"/>
      <w:bookmarkStart w:id="1" w:name="_Ref40301253"/>
      <w:bookmarkStart w:id="2" w:name="_Toc46743519"/>
      <w:bookmarkStart w:id="3" w:name="_Toc51339699"/>
      <w:bookmarkEnd w:id="0"/>
      <w:bookmarkEnd w:id="1"/>
      <w:bookmarkEnd w:id="2"/>
      <w:bookmarkEnd w:id="3"/>
      <w:r>
        <w:rPr>
          <w:b/>
          <w:sz w:val="24"/>
          <w:szCs w:val="24"/>
        </w:rPr>
        <w:t xml:space="preserve">Приложение №1 к ТТ                                                                                                                                         </w:t>
      </w:r>
    </w:p>
    <w:p>
      <w:pPr>
        <w:pStyle w:val="ConsPlusNormal1"/>
        <w:widowControl/>
        <w:tabs>
          <w:tab w:val="clear" w:pos="708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и составлению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смет или расчетов на выполнение услуг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программе научно-исследовательских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работ.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928" w:leader="none"/>
          <w:tab w:val="left" w:pos="993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Настоящие требования разработаны для единого подхода к определению стоимости научно-исследовательских работ (далее по тексту–НИР).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928" w:leader="none"/>
          <w:tab w:val="left" w:pos="993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Сметы или расчеты на НИР составлять на основании технических требований (технического задания) заказчика, графиков производства работ.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928" w:leader="none"/>
          <w:tab w:val="left" w:pos="993" w:leader="none"/>
        </w:tabs>
        <w:suppressAutoHyphens w:val="false"/>
        <w:spacing w:lineRule="auto" w:line="276" w:before="0" w:after="6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Стоимость НИР (обследований, обмерных работ и т.д.), определяется на основе Справочников базовых цен и других нормативных сборников,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928" w:leader="none"/>
          <w:tab w:val="left" w:pos="993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928" w:leader="none"/>
          <w:tab w:val="left" w:pos="993" w:leader="none"/>
        </w:tabs>
        <w:suppressAutoHyphens w:val="false"/>
        <w:spacing w:lineRule="auto" w:line="276"/>
        <w:ind w:left="0" w:firstLine="567"/>
        <w:jc w:val="both"/>
        <w:rPr>
          <w:rFonts w:cs="Arial"/>
          <w:color w:val="000000"/>
          <w:sz w:val="24"/>
          <w:szCs w:val="24"/>
        </w:rPr>
      </w:pPr>
      <w:r>
        <w:rPr>
          <w:sz w:val="24"/>
          <w:szCs w:val="24"/>
        </w:rPr>
        <w:t xml:space="preserve">Пересчет сметной стоимости НИР по состоянию на 01.01.2001г, 01.01.1995г. (1991г.) следует производить согласно индексам на указанные работы, рекомендованным к применению </w:t>
      </w:r>
      <w:r>
        <w:rPr>
          <w:rFonts w:cs="Arial"/>
          <w:color w:val="000000"/>
          <w:sz w:val="24"/>
          <w:szCs w:val="24"/>
        </w:rPr>
        <w:t>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28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определении стоимости НИР, затраты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местностям,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№ 9-10-17/40, дополнительно учитываются путем введения к итогу базовой цены повышающих коэффициентов. Указывать размер примененных коэффициентов, доплат и т.д. с обоснованиями из технической части, вводных указаний сборников или других нормативных документов.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28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в сметных нормативах, сведения о которых включены в ФРСН, показателей и нормативов цены проектных работ, стоимость работ по подготовке проектной документации определяется в соответствии с положениями МУ, либо по нормативному акту, пришедшему на смену данному документу.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28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работ, цены на которые отсутствуют в СБЦ и СЦ, внесенных в ФРСН, возможно определять сметным расчетом (форма </w:t>
      </w:r>
      <w:r>
        <w:fldChar w:fldCharType="begin"/>
      </w:r>
      <w:r>
        <w:rPr>
          <w:sz w:val="24"/>
          <w:szCs w:val="24"/>
        </w:rPr>
        <w:instrText xml:space="preserve"> HYPERLINK "../../../../../../../C:/H:/AppData/Local%20Settings/Temporary%20Internet%20Files/OLK7/%25D0%259F%25D0%25BE%25D1%2581%25D0%25BE%25D0%25B1%25D0%25B8%25D0%25B5%20%25D0%25BF%25D0%25BE%20%25D0%25B8%25D0%25BD%25D0%25B6%25D0%25B5%25D0%25BD%25D0%25B5%25D1%2580%25D0%25BD%25D1%258B%25D0%25BC%20%25D0%25B8%25D0%25B7%25D1%258B%25D1%2581%25D0%25BA%25D0%25B0%25D0%25BD%25D0%25B8%25D1%258F%25D0%25BC_2004.htm" \l "_blank"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3п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), согласно Методике по приказу от 01.10.2021 г. №707/пр (далее Методика 707), по согласованию с Заказчиком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28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Средства на выполнение НИР определяются отдельными расчетами в соответствии с видом выполняемых работ и включаются (по необходимости) в сводную смету (Приложение №3).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8" w:leader="none"/>
          <w:tab w:val="left" w:pos="928" w:leader="none"/>
        </w:tabs>
        <w:suppressAutoHyphens w:val="false"/>
        <w:spacing w:lineRule="auto" w:line="276"/>
        <w:ind w:left="0" w:firstLine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В случае заключений дополнительных соглашений к договору (далее - д/с), сводную смету необходимо выполнять в накопительной форме с учетом </w:t>
      </w:r>
      <w:r>
        <w:rPr>
          <w:color w:val="000000"/>
          <w:sz w:val="24"/>
          <w:szCs w:val="24"/>
        </w:rPr>
        <w:t>ЛСР (</w:t>
      </w:r>
      <w:r>
        <w:rPr>
          <w:rFonts w:cs="Arial"/>
          <w:color w:val="000000"/>
          <w:sz w:val="24"/>
          <w:szCs w:val="24"/>
        </w:rPr>
        <w:t xml:space="preserve">ЛС) к основному договору и ко всем заключенным д/с к нему. В итогах сводной сметы в накопительной форме(справочно)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сводной сметы в накопительной форме очередного д/с и стоимостью основного договора. Форма сводной сметы в накопительной </w:t>
      </w:r>
      <w:r>
        <w:rPr>
          <w:sz w:val="24"/>
          <w:szCs w:val="24"/>
        </w:rPr>
        <w:t>(образец приложение № 3.1)</w:t>
      </w:r>
      <w:r>
        <w:rPr>
          <w:rFonts w:cs="Arial"/>
          <w:color w:val="000000"/>
          <w:sz w:val="24"/>
          <w:szCs w:val="24"/>
        </w:rPr>
        <w:t xml:space="preserve"> ЛСР (ЛС) разрабатываются отдельно на исключаемые и дополнительные объемы работ. </w:t>
      </w:r>
    </w:p>
    <w:p>
      <w:pPr>
        <w:pStyle w:val="Normal"/>
        <w:spacing w:lineRule="auto" w:line="276"/>
        <w:ind w:left="1224" w:firstLine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ЛС являются приложениями к сводной смете в накопительной форме. Нумерация приложений указывается по мере включения ЛС в Сводную смету в накопительной форме - по порядку.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60"/>
        <w:ind w:left="567" w:hanging="50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11. Результаты вычислений (построчные) и итоговые данные в локальных сметных расчетах, (сметах), приводятся в рублях,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left="1224" w:firstLine="567"/>
        <w:jc w:val="both"/>
        <w:rPr>
          <w:sz w:val="24"/>
          <w:szCs w:val="24"/>
        </w:rPr>
      </w:pPr>
      <w:r>
        <w:rPr>
          <w:sz w:val="24"/>
          <w:szCs w:val="24"/>
        </w:rPr>
        <w:t>-при базисно-индексном методе, с округлением до целых рублей;</w:t>
      </w:r>
    </w:p>
    <w:p>
      <w:pPr>
        <w:pStyle w:val="Normal"/>
        <w:widowControl w:val="false"/>
        <w:spacing w:lineRule="auto" w:line="276"/>
        <w:ind w:left="1224" w:firstLine="567"/>
        <w:jc w:val="both"/>
        <w:rPr>
          <w:sz w:val="24"/>
          <w:szCs w:val="24"/>
        </w:rPr>
      </w:pPr>
      <w:r>
        <w:rPr>
          <w:sz w:val="24"/>
          <w:szCs w:val="24"/>
        </w:rPr>
        <w:t>-при ресурсно-индексном и ресурсным методах, а также сметных расчетах на отдельные виды затрат - с округлением до целых единиц;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60"/>
        <w:ind w:left="1224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сводной смете - в рублях с округлением до двух знаков после запятой.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28" w:leader="none"/>
          <w:tab w:val="left" w:pos="993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Сметы предоставляются в 2-х вариантах: бумажном и электронном (в формате «</w:t>
      </w:r>
      <w:r>
        <w:rPr>
          <w:sz w:val="24"/>
          <w:szCs w:val="24"/>
          <w:lang w:val="en-US"/>
        </w:rPr>
        <w:t>Excel</w:t>
      </w:r>
      <w:r>
        <w:rPr>
          <w:sz w:val="24"/>
          <w:szCs w:val="24"/>
        </w:rPr>
        <w:t>»).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28" w:leader="none"/>
          <w:tab w:val="left" w:pos="993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необходимости учета командировочных расходов в сметной документации составляется расчет. Размер суточных командировочных расходов определить в соответствии с действующим законодательством РФ и с учетом норм, определяемых внутренним документом организации.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28" w:leader="none"/>
          <w:tab w:val="left" w:pos="993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Лимиты командировочных расходов при производстве НИР по статьям затрат следующие не более: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uppressAutoHyphens w:val="false"/>
        <w:spacing w:lineRule="auto" w:line="276" w:before="0" w:after="6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суточные - 700 руб./сутки;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uppressAutoHyphens w:val="false"/>
        <w:spacing w:lineRule="auto" w:line="276" w:before="0" w:after="6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проживание – 5000 руб./сутки;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93" w:leader="none"/>
        </w:tabs>
        <w:suppressAutoHyphens w:val="false"/>
        <w:spacing w:lineRule="auto" w:line="276" w:before="0" w:after="6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проезд: поезд (купе) или самолет </w:t>
      </w:r>
      <w:r>
        <w:rPr>
          <w:color w:val="000000"/>
          <w:sz w:val="24"/>
          <w:szCs w:val="24"/>
        </w:rPr>
        <w:t>(класс–эконом с багажом до 20 (двадцати) кг, ручная кладь до 10 (десяти) кг)</w:t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60"/>
        <w:ind w:left="567" w:hanging="50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Данные лимиты могут быть пересмотрены на этапе согласования технических требований.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28" w:leader="none"/>
          <w:tab w:val="left" w:pos="993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случае учета строительно-монтажных работ в рамках исполнения работ при производстве НИР необходимо руководствоваться соответствующими требованиями к оформлению и составлению сметной документации при ремонте, реконструкции и техническом перевооружении.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28" w:leader="none"/>
          <w:tab w:val="left" w:pos="993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случае применения понижающего коэффициента к итогу смет или расчетов, корректирующего их стоимость в меньшую сторону, величину данного коэффициента необходимо учитывать с округлением до 3 знаков после запятой.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28" w:leader="none"/>
          <w:tab w:val="left" w:pos="993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субподрядных работ (в случае наличия таковых) следует отразить отдельной строкой в Сводной смете (образец приложение №3 к требованиям к оформлению и составлению смет и расчётов по услугам НИР) с представлением соответствующих расчетов.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928" w:leader="none"/>
          <w:tab w:val="left" w:pos="993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Стоимость материальных ресурсов и комплектующих, необходимых для создания опытных образцов, следует отразить отдельными строками в Сводной смете (образец приложение №2 к требованиям к оформлению и составлению смет и расчётов по услугам НИР).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numPr>
          <w:ilvl w:val="0"/>
          <w:numId w:val="7"/>
        </w:numPr>
        <w:tabs>
          <w:tab w:val="clear" w:pos="708"/>
          <w:tab w:val="left" w:pos="928" w:leader="none"/>
          <w:tab w:val="left" w:pos="993" w:leader="none"/>
        </w:tabs>
        <w:suppressAutoHyphens w:val="false"/>
        <w:spacing w:lineRule="auto" w:line="27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Стоимость строительно-монтажных работ, выполняемым в целях создания опытных образов и макетов, следует отразить отдельными строками в Сводной смете (образец приложение № 3) с представлением соответствующих расчетов (в случае наличия таковых).</w:t>
      </w:r>
    </w:p>
    <w:p>
      <w:pPr>
        <w:pStyle w:val="Normal"/>
        <w:tabs>
          <w:tab w:val="clear" w:pos="708"/>
          <w:tab w:val="left" w:pos="1080" w:leader="none"/>
        </w:tabs>
        <w:ind w:left="540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0" w:hanging="504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pStyle w:val="Normal"/>
        <w:ind w:left="5670" w:hanging="504"/>
        <w:rPr>
          <w:sz w:val="24"/>
          <w:szCs w:val="24"/>
        </w:rPr>
      </w:pPr>
      <w:r>
        <w:rPr>
          <w:sz w:val="24"/>
          <w:szCs w:val="24"/>
        </w:rPr>
        <w:t>к Требованиям к оформлению и составлению смет или расчетов на выполнение услуг по программе НИР</w:t>
      </w:r>
    </w:p>
    <w:p>
      <w:pPr>
        <w:pStyle w:val="Normal"/>
        <w:ind w:left="5670" w:hanging="504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заполнению формы №3п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при составлении смет на НИР.</w:t>
      </w:r>
    </w:p>
    <w:p>
      <w:pPr>
        <w:pStyle w:val="Normal"/>
        <w:tabs>
          <w:tab w:val="clear" w:pos="708"/>
          <w:tab w:val="left" w:pos="1134" w:leader="none"/>
        </w:tabs>
        <w:ind w:left="1224" w:firstLine="567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  <w:tab w:val="left" w:pos="5812" w:leader="none"/>
        </w:tabs>
        <w:suppressAutoHyphens w:val="false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При составлении калькуляции затрат (форма №3п), разработанным организацией, выполняющей </w:t>
      </w:r>
      <w:r>
        <w:rPr>
          <w:rFonts w:eastAsia="Times New Roman" w:cs="Cambria Math" w:ascii="Cambria Math" w:hAnsi="Cambria Math"/>
        </w:rPr>
        <w:t>НИ</w:t>
      </w:r>
      <w:r>
        <w:rPr>
          <w:rFonts w:eastAsia="Times New Roman"/>
        </w:rPr>
        <w:t>Р, Заказчику предоставляется обоснование расчета. Сметные расчеты составляются в ценах текущего периода.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  <w:tab w:val="left" w:pos="5812" w:leader="none"/>
        </w:tabs>
        <w:suppressAutoHyphens w:val="false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>Калькуляцией затрат (форма №3п прил. №1 к ПЗ) рекомендуется определять стоимость работ, цены на которые отсутствуют в МНЗ и СБЦ, внесенных в ФРСН и других нормативных сборниках, внесенных в ФРСН.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134" w:leader="none"/>
        </w:tabs>
        <w:suppressAutoHyphens w:val="false"/>
        <w:spacing w:before="240" w:after="60"/>
        <w:ind w:left="0"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>Стоимость работ и расходов в соответствии с калькуляцией затрат определяется согласно положениям Методики №707 с учетом следующего:</w:t>
      </w:r>
    </w:p>
    <w:p>
      <w:pPr>
        <w:pStyle w:val="ConsPlusNormal1"/>
        <w:numPr>
          <w:ilvl w:val="1"/>
          <w:numId w:val="9"/>
        </w:numPr>
        <w:tabs>
          <w:tab w:val="clear" w:pos="708"/>
          <w:tab w:val="left" w:pos="1134" w:leader="none"/>
        </w:tabs>
        <w:suppressAutoHyphens w:val="false"/>
        <w:spacing w:before="24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ПР (</w:t>
      </w: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Спр</m:t>
        </m:r>
      </m:oMath>
      <w:r>
        <w:rPr>
          <w:rFonts w:cs="Times New Roman" w:ascii="Times New Roman" w:hAnsi="Times New Roman"/>
          <w:sz w:val="24"/>
          <w:szCs w:val="24"/>
        </w:rPr>
        <w:t>) в соответствии с калькуляцией затрат определяется по формуле:</w:t>
      </w:r>
    </w:p>
    <w:p>
      <w:pPr>
        <w:pStyle w:val="ConsPlusNormal1"/>
        <w:tabs>
          <w:tab w:val="clear" w:pos="708"/>
          <w:tab w:val="left" w:pos="0" w:leader="none"/>
        </w:tabs>
        <w:ind w:left="122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С</m:t>
              </m:r>
            </m:e>
            <m:sub>
              <m:r>
                <w:rPr>
                  <w:rFonts w:ascii="Cambria Math" w:hAnsi="Cambria Math"/>
                </w:rPr>
                <m:t xml:space="preserve">пр</m:t>
              </m:r>
            </m:sub>
          </m:sSub>
          <m:r>
            <w:rPr>
              <w:rFonts w:ascii="Cambria Math" w:hAnsi="Cambria Math"/>
            </w:rPr>
            <m:t xml:space="preserve">=</m:t>
          </m:r>
          <m:sSub>
            <m:e>
              <m:r>
                <w:rPr>
                  <w:rFonts w:ascii="Cambria Math" w:hAnsi="Cambria Math"/>
                </w:rPr>
                <m:t xml:space="preserve">В</m:t>
              </m:r>
            </m:e>
            <m:sub>
              <m:r>
                <w:rPr>
                  <w:rFonts w:ascii="Cambria Math" w:hAnsi="Cambria Math"/>
                </w:rPr>
                <m:t xml:space="preserve">ср</m:t>
              </m:r>
            </m:sub>
          </m:sSub>
          <m:r>
            <w:rPr>
              <w:rFonts w:ascii="Cambria Math" w:hAnsi="Cambria Math"/>
            </w:rPr>
            <m:t xml:space="preserve">×</m:t>
          </m:r>
          <m:sSub>
            <m:e>
              <m:r>
                <w:rPr>
                  <w:rFonts w:ascii="Cambria Math" w:hAnsi="Cambria Math"/>
                </w:rPr>
                <m:t xml:space="preserve">Т</m:t>
              </m:r>
            </m:e>
            <m:sub>
              <m:r>
                <w:rPr>
                  <w:rFonts w:ascii="Cambria Math" w:hAnsi="Cambria Math"/>
                </w:rPr>
                <m:t xml:space="preserve">п</m:t>
              </m:r>
            </m:sub>
          </m:sSub>
          <m:r>
            <w:rPr>
              <w:rFonts w:ascii="Cambria Math" w:hAnsi="Cambria Math"/>
            </w:rPr>
            <m:t xml:space="preserve">×</m:t>
          </m:r>
          <m:sSub>
            <m:e>
              <m:r>
                <w:rPr>
                  <w:rFonts w:ascii="Cambria Math" w:hAnsi="Cambria Math"/>
                </w:rPr>
                <m:t xml:space="preserve">Ч</m:t>
              </m:r>
            </m:e>
            <m:sub>
              <m:r>
                <w:rPr>
                  <w:rFonts w:ascii="Cambria Math" w:hAnsi="Cambria Math"/>
                </w:rPr>
                <m:t xml:space="preserve">общ</m:t>
              </m:r>
            </m:sub>
          </m:sSub>
          <m:r>
            <w:rPr>
              <w:rFonts w:ascii="Cambria Math" w:hAnsi="Cambria Math"/>
            </w:rPr>
            <m:t xml:space="preserve">×</m:t>
          </m:r>
          <m:sSub>
            <m:e>
              <m:r>
                <w:rPr>
                  <w:rFonts w:ascii="Cambria Math" w:hAnsi="Cambria Math"/>
                </w:rPr>
                <m:t xml:space="preserve">К</m:t>
              </m:r>
            </m:e>
            <m:sub>
              <m:r>
                <w:rPr>
                  <w:rFonts w:ascii="Cambria Math" w:hAnsi="Cambria Math"/>
                </w:rPr>
                <m:t xml:space="preserve">кв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уч</m:t>
              </m:r>
            </m:sub>
          </m:sSub>
        </m:oMath>
      </m:oMathPara>
    </w:p>
    <w:p>
      <w:pPr>
        <w:pStyle w:val="ConsPlusNormal1"/>
        <w:tabs>
          <w:tab w:val="clear" w:pos="708"/>
          <w:tab w:val="left" w:pos="1134" w:leader="none"/>
        </w:tabs>
        <w:ind w:left="12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где:</w:t>
      </w:r>
    </w:p>
    <w:p>
      <w:pPr>
        <w:pStyle w:val="ConsPlusNormal1"/>
        <w:tabs>
          <w:tab w:val="clear" w:pos="708"/>
          <w:tab w:val="left" w:pos="1134" w:leader="none"/>
        </w:tabs>
        <w:ind w:left="12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Спр</m:t>
        </m:r>
      </m:oMath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- стоимость работ, определенная в соответствии с калькуляцией затрат, рублей;</w:t>
      </w:r>
    </w:p>
    <w:p>
      <w:pPr>
        <w:pStyle w:val="ConsPlusNormal1"/>
        <w:tabs>
          <w:tab w:val="clear" w:pos="708"/>
          <w:tab w:val="left" w:pos="1134" w:leader="none"/>
        </w:tabs>
        <w:ind w:left="12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Вср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среднедневная выработка одного непосредственного исполнителя, рублей;</w:t>
      </w:r>
    </w:p>
    <w:p>
      <w:pPr>
        <w:pStyle w:val="ConsPlusNormal1"/>
        <w:tabs>
          <w:tab w:val="clear" w:pos="708"/>
          <w:tab w:val="left" w:pos="1134" w:leader="none"/>
        </w:tabs>
        <w:ind w:left="12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Тп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плановая продолжительность выполнения работ, предусмотренных калькуляцией затрат, дни;</w:t>
      </w:r>
    </w:p>
    <w:p>
      <w:pPr>
        <w:pStyle w:val="ConsPlusNormal1"/>
        <w:tabs>
          <w:tab w:val="clear" w:pos="708"/>
          <w:tab w:val="left" w:pos="1134" w:leader="none"/>
        </w:tabs>
        <w:ind w:left="12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Чобщ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общая численность непосредственных исполнителей, занятых в выполнении работ, предусмотренных калькуляцией затрат, чел.;</w:t>
      </w:r>
    </w:p>
    <w:p>
      <w:pPr>
        <w:pStyle w:val="ConsPlusNormal1"/>
        <w:tabs>
          <w:tab w:val="clear" w:pos="708"/>
          <w:tab w:val="left" w:pos="1134" w:leader="none"/>
        </w:tabs>
        <w:ind w:left="12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Ккв-уч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корректирующий коэффициент, учитывающий степень участия исполнителей различной квалификации в выполнении работ, предусмотренных калькуляцией затрат (далее - коэффициент квалификации-участия);</w:t>
      </w:r>
    </w:p>
    <w:p>
      <w:pPr>
        <w:pStyle w:val="ConsPlusNormal1"/>
        <w:numPr>
          <w:ilvl w:val="1"/>
          <w:numId w:val="9"/>
        </w:numPr>
        <w:tabs>
          <w:tab w:val="clear" w:pos="708"/>
          <w:tab w:val="left" w:pos="1134" w:leader="none"/>
        </w:tabs>
        <w:suppressAutoHyphens w:val="false"/>
        <w:spacing w:before="24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среднедневная выработка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В</m:t>
        </m:r>
        <m:r>
          <m:rPr>
            <m:lit/>
            <m:nor/>
          </m:rPr>
          <w:rPr>
            <w:rFonts w:ascii="Cambria Math" w:hAnsi="Cambria Math"/>
          </w:rPr>
          <m:t xml:space="preserve">ср</m:t>
        </m:r>
      </m:oMath>
      <w:r>
        <w:rPr>
          <w:rFonts w:cs="Times New Roman" w:ascii="Times New Roman" w:hAnsi="Times New Roman"/>
          <w:sz w:val="24"/>
          <w:szCs w:val="24"/>
        </w:rPr>
        <w:t>) определяется по формуле:</w:t>
      </w:r>
    </w:p>
    <w:p>
      <w:pPr>
        <w:pStyle w:val="ConsPlusNormal1"/>
        <w:tabs>
          <w:tab w:val="clear" w:pos="708"/>
          <w:tab w:val="left" w:pos="1134" w:leader="none"/>
        </w:tabs>
        <w:ind w:left="12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0" w:leader="none"/>
        </w:tabs>
        <w:ind w:left="122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В</m:t>
              </m:r>
            </m:e>
            <m:sub>
              <m:r>
                <w:rPr>
                  <w:rFonts w:ascii="Cambria Math" w:hAnsi="Cambria Math"/>
                </w:rPr>
                <m:t xml:space="preserve">ср</m:t>
              </m:r>
            </m:sub>
          </m:sSub>
          <m:r>
            <w:rPr>
              <w:rFonts w:ascii="Cambria Math" w:hAnsi="Cambria Math"/>
            </w:rPr>
            <m:t xml:space="preserve">=</m:t>
          </m:r>
          <m:f>
            <m:num>
              <m:sSub>
                <m:e>
                  <m:r>
                    <w:rPr>
                      <w:rFonts w:ascii="Cambria Math" w:hAnsi="Cambria Math"/>
                    </w:rPr>
                    <m:t xml:space="preserve">ЗП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ср</m:t>
                  </m:r>
                </m:sub>
              </m:sSub>
              <m:r>
                <w:rPr>
                  <w:rFonts w:ascii="Cambria Math" w:hAnsi="Cambria Math"/>
                </w:rPr>
                <m:t xml:space="preserve">×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1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Р</m:t>
                  </m:r>
                </m:e>
              </m:d>
            </m:num>
            <m:den>
              <m:sSub>
                <m:e>
                  <m:r>
                    <w:rPr>
                      <w:rFonts w:ascii="Cambria Math" w:hAnsi="Cambria Math"/>
                    </w:rPr>
                    <m:t xml:space="preserve">К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з</m:t>
                  </m:r>
                </m:sub>
              </m:sSub>
            </m:den>
          </m:f>
        </m:oMath>
      </m:oMathPara>
    </w:p>
    <w:p>
      <w:pPr>
        <w:pStyle w:val="ConsPlusNormal1"/>
        <w:ind w:left="12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где:</w:t>
      </w:r>
    </w:p>
    <w:p>
      <w:pPr>
        <w:pStyle w:val="ConsPlusNormal1"/>
        <w:shd w:val="clear" w:color="auto" w:fill="FFFFFF"/>
        <w:ind w:left="12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Р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- коэффициент уровня рентабельности (сметной прибыли), принимается Р = 0,1 (1%) согласно </w:t>
      </w:r>
      <w:hyperlink w:anchor="P1643">
        <w:r>
          <w:rPr>
            <w:sz w:val="24"/>
            <w:szCs w:val="24"/>
          </w:rPr>
          <w:t>таблице 1.2</w:t>
        </w:r>
      </w:hyperlink>
      <w:r>
        <w:rPr>
          <w:rFonts w:cs="Times New Roman" w:ascii="Times New Roman" w:hAnsi="Times New Roman"/>
          <w:sz w:val="24"/>
          <w:szCs w:val="24"/>
        </w:rPr>
        <w:t>, приведенной в приложении N 2 к Методике №707;</w:t>
      </w:r>
    </w:p>
    <w:p>
      <w:pPr>
        <w:pStyle w:val="ConsPlusNormal1"/>
        <w:ind w:left="12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ЗП</m:t>
        </m:r>
        <m:r>
          <m:rPr>
            <m:lit/>
            <m:nor/>
          </m:rPr>
          <w:rPr>
            <w:rFonts w:ascii="Cambria Math" w:hAnsi="Cambria Math"/>
          </w:rPr>
          <m:t xml:space="preserve">ср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среднедневная заработная плата, тыс. руб. Принимается по данным Росстата о среднемесячной номинальной начисленной заработной плате работающих в экономике, по видам экономической деятельности в Российской Федерации для научных исследований и разработок (</w:t>
      </w:r>
      <w:hyperlink r:id="rId4">
        <w:r>
          <w:rPr>
            <w:rFonts w:cs="Times New Roman" w:ascii="Times New Roman" w:hAnsi="Times New Roman"/>
            <w:sz w:val="24"/>
            <w:szCs w:val="24"/>
          </w:rPr>
          <w:t>код 72</w:t>
        </w:r>
        <w:r>
          <w:rPr>
            <w:sz w:val="24"/>
            <w:szCs w:val="24"/>
          </w:rPr>
          <w:t>.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согласно ОК 029-2014 (КДЕС ред. 2) "Общероссийский классификатор видов экономической деятельности" (далее - Общероссийский классификатор) за год, предшествующий году определения сметной стоимости работ (среднее значение за период январь - декабрь), исходя из усредненного на основании производственного календаря количества рабочих дней в месяце для года, предшествующего году определения сметной стоимости работ. Для работ по объектам, являющимся особо опасными, технически сложными, уникальными объектами согласно </w:t>
      </w:r>
      <w:hyperlink r:id="rId5">
        <w:r>
          <w:rPr>
            <w:sz w:val="24"/>
            <w:szCs w:val="24"/>
          </w:rPr>
          <w:t xml:space="preserve">статье </w:t>
        </w:r>
        <w:r>
          <w:rPr>
            <w:rFonts w:cs="Times New Roman" w:ascii="Times New Roman" w:hAnsi="Times New Roman"/>
            <w:sz w:val="24"/>
            <w:szCs w:val="24"/>
          </w:rPr>
          <w:t>48.1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Градостроительного кодекса Российской Федерации, а также для работ по подготовке проектной документации, содержащей материалы в форме информационной модели, среднемесячная заработная плата принимается для деятельности в области инженерно-технического проектирования (</w:t>
      </w:r>
      <w:hyperlink r:id="rId6">
        <w:r>
          <w:rPr>
            <w:rFonts w:cs="Times New Roman" w:ascii="Times New Roman" w:hAnsi="Times New Roman"/>
            <w:sz w:val="24"/>
            <w:szCs w:val="24"/>
          </w:rPr>
          <w:t>код 71.12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согласно ОК 029-2014 (КДЕС ред. 2) Общероссийского классификатора)</w:t>
      </w:r>
      <w:r>
        <w:rPr>
          <w:rStyle w:val="FootnoteReference"/>
          <w:sz w:val="24"/>
          <w:szCs w:val="24"/>
        </w:rPr>
        <w:footnoteReference w:id="2"/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ConsPlusNormal1"/>
        <w:ind w:left="12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Кз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коэффициент, учитывающий долю оплаты труда производственного персонала в себестоимости работ: К3 принимается в размере 40,06%;</w:t>
      </w:r>
    </w:p>
    <w:p>
      <w:pPr>
        <w:pStyle w:val="ConsPlusNormal1"/>
        <w:numPr>
          <w:ilvl w:val="1"/>
          <w:numId w:val="9"/>
        </w:numPr>
        <w:suppressAutoHyphens w:val="false"/>
        <w:spacing w:before="220" w:after="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коэффициент, квалификации-участия (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К</m:t>
            </m:r>
          </m:e>
          <m:sub>
            <m:r>
              <w:rPr>
                <w:rFonts w:ascii="Cambria Math" w:hAnsi="Cambria Math"/>
              </w:rPr>
              <m:t xml:space="preserve">кв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уч</m:t>
            </m:r>
          </m:sub>
        </m:sSub>
      </m:oMath>
      <w:r>
        <w:rPr>
          <w:rFonts w:cs="Times New Roman" w:ascii="Times New Roman" w:hAnsi="Times New Roman"/>
          <w:sz w:val="24"/>
          <w:szCs w:val="24"/>
        </w:rPr>
        <w:t>), определяется по формуле:</w:t>
      </w:r>
    </w:p>
    <w:p>
      <w:pPr>
        <w:pStyle w:val="ConsPlusNormal1"/>
        <w:spacing w:before="220" w:after="60"/>
        <w:ind w:left="12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left="122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К</m:t>
              </m:r>
            </m:e>
            <m:sub>
              <m:r>
                <w:rPr>
                  <w:rFonts w:ascii="Cambria Math" w:hAnsi="Cambria Math"/>
                </w:rPr>
                <m:t xml:space="preserve">кв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уч</m:t>
              </m:r>
            </m:sub>
          </m:sSub>
          <m:r>
            <w:rPr>
              <w:rFonts w:ascii="Cambria Math" w:hAnsi="Cambria Math"/>
            </w:rPr>
            <m:t xml:space="preserve">=</m:t>
          </m:r>
          <m:f>
            <m:num>
              <m:nary>
                <m:naryPr>
                  <m:chr m:val="∑"/>
                </m:naryPr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  <m:r>
                    <w:rPr>
                      <w:rFonts w:ascii="Cambria Math" w:hAnsi="Cambria Math"/>
                    </w:rPr>
                    <m:t xml:space="preserve">=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</m:sub>
                <m:sup>
                  <m:r>
                    <w:rPr>
                      <w:rFonts w:ascii="Cambria Math" w:hAnsi="Cambria Math"/>
                    </w:rPr>
                    <m:t xml:space="preserve">n</m:t>
                  </m:r>
                </m:sup>
                <m:e>
                  <m:f>
                    <m:num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фi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общ</m:t>
                          </m:r>
                        </m:sub>
                      </m:sSub>
                    </m:den>
                  </m:f>
                </m:e>
              </m:nary>
              <m:r>
                <w:rPr>
                  <w:rFonts w:ascii="Cambria Math" w:hAnsi="Cambria Math"/>
                </w:rPr>
                <m:t xml:space="preserve">×</m:t>
              </m:r>
              <m:sSub>
                <m:e>
                  <m:r>
                    <w:rPr>
                      <w:rFonts w:ascii="Cambria Math" w:hAnsi="Cambria Math"/>
                    </w:rPr>
                    <m:t xml:space="preserve">Ч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</m:sub>
              </m:sSub>
              <m:r>
                <w:rPr>
                  <w:rFonts w:ascii="Cambria Math" w:hAnsi="Cambria Math"/>
                </w:rPr>
                <m:t xml:space="preserve">×</m:t>
              </m:r>
              <m:sSub>
                <m:e>
                  <m:r>
                    <w:rPr>
                      <w:rFonts w:ascii="Cambria Math" w:hAnsi="Cambria Math"/>
                    </w:rPr>
                    <m:t xml:space="preserve">И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</m:sub>
              </m:sSub>
            </m:num>
            <m:den>
              <m:sSub>
                <m:e>
                  <m:r>
                    <w:rPr>
                      <w:rFonts w:ascii="Cambria Math" w:hAnsi="Cambria Math"/>
                    </w:rPr>
                    <m:t xml:space="preserve">Ч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общ</m:t>
                  </m:r>
                </m:sub>
              </m:sSub>
            </m:den>
          </m:f>
        </m:oMath>
      </m:oMathPara>
    </w:p>
    <w:p>
      <w:pPr>
        <w:pStyle w:val="ConsPlusNormal1"/>
        <w:ind w:left="1224" w:firstLine="709"/>
        <w:jc w:val="both"/>
        <w:rPr>
          <w:rFonts w:ascii="Cambria Math" w:hAnsi="Cambria Math" w:cs="Cambria Math"/>
          <w:sz w:val="24"/>
          <w:szCs w:val="24"/>
        </w:rPr>
      </w:pPr>
      <w:r>
        <w:rPr>
          <w:rFonts w:cs="Cambria Math" w:ascii="Cambria Math" w:hAnsi="Cambria Math"/>
          <w:sz w:val="24"/>
          <w:szCs w:val="24"/>
        </w:rPr>
        <w:t>где:</w:t>
      </w:r>
    </w:p>
    <w:p>
      <w:pPr>
        <w:pStyle w:val="ConsPlusNormal1"/>
        <w:ind w:left="1224" w:firstLine="709"/>
        <w:jc w:val="both"/>
        <w:rPr>
          <w:rFonts w:ascii="Cambria Math" w:hAnsi="Cambria Math" w:cs="Cambria Math"/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И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</m:oMath>
      <w:r>
        <w:rPr>
          <w:rFonts w:cs="Cambria Math" w:ascii="Cambria Math" w:hAnsi="Cambria Math"/>
          <w:sz w:val="24"/>
          <w:szCs w:val="24"/>
        </w:rPr>
        <w:t xml:space="preserve"> </w:t>
      </w:r>
      <w:r>
        <w:rPr>
          <w:rFonts w:cs="Cambria Math" w:ascii="Cambria Math" w:hAnsi="Cambria Math"/>
          <w:sz w:val="24"/>
          <w:szCs w:val="24"/>
        </w:rPr>
        <w:t xml:space="preserve">- индекс квалификации непосредственных исполнителей согласно </w:t>
      </w:r>
      <w:hyperlink w:anchor="P1654">
        <w:r>
          <w:rPr>
            <w:rFonts w:cs="Cambria Math" w:ascii="Cambria Math" w:hAnsi="Cambria Math"/>
            <w:sz w:val="24"/>
            <w:szCs w:val="24"/>
          </w:rPr>
          <w:t>таблицам 1.3</w:t>
        </w:r>
      </w:hyperlink>
      <w:r>
        <w:rPr>
          <w:rFonts w:cs="Cambria Math" w:ascii="Cambria Math" w:hAnsi="Cambria Math"/>
          <w:sz w:val="24"/>
          <w:szCs w:val="24"/>
        </w:rPr>
        <w:t xml:space="preserve"> - </w:t>
      </w:r>
      <w:hyperlink w:anchor="P1701">
        <w:r>
          <w:rPr>
            <w:rFonts w:cs="Cambria Math" w:ascii="Cambria Math" w:hAnsi="Cambria Math"/>
            <w:sz w:val="24"/>
            <w:szCs w:val="24"/>
          </w:rPr>
          <w:t>1.4</w:t>
        </w:r>
      </w:hyperlink>
      <w:r>
        <w:rPr>
          <w:rFonts w:cs="Cambria Math" w:ascii="Cambria Math" w:hAnsi="Cambria Math"/>
          <w:sz w:val="24"/>
          <w:szCs w:val="24"/>
        </w:rPr>
        <w:t xml:space="preserve">, приведенным в приложении N 2 к Методике №707. Для отдельных отраслей индексы, приведенные в </w:t>
      </w:r>
      <w:hyperlink w:anchor="P1654">
        <w:r>
          <w:rPr>
            <w:rFonts w:cs="Cambria Math" w:ascii="Cambria Math" w:hAnsi="Cambria Math"/>
            <w:sz w:val="24"/>
            <w:szCs w:val="24"/>
          </w:rPr>
          <w:t>таблицах 1.3</w:t>
        </w:r>
      </w:hyperlink>
      <w:r>
        <w:rPr>
          <w:rFonts w:cs="Cambria Math" w:ascii="Cambria Math" w:hAnsi="Cambria Math"/>
          <w:sz w:val="24"/>
          <w:szCs w:val="24"/>
        </w:rPr>
        <w:t xml:space="preserve"> - </w:t>
      </w:r>
      <w:hyperlink w:anchor="P1701">
        <w:r>
          <w:rPr>
            <w:rFonts w:cs="Cambria Math" w:ascii="Cambria Math" w:hAnsi="Cambria Math"/>
            <w:sz w:val="24"/>
            <w:szCs w:val="24"/>
          </w:rPr>
          <w:t>1.4</w:t>
        </w:r>
      </w:hyperlink>
      <w:r>
        <w:rPr>
          <w:rFonts w:cs="Cambria Math" w:ascii="Cambria Math" w:hAnsi="Cambria Math"/>
          <w:sz w:val="24"/>
          <w:szCs w:val="24"/>
        </w:rPr>
        <w:t xml:space="preserve"> приложения N 2 к Методике №707, подлежат уточнению при предоставлении соответствующих обоснований (бухгалтерских справок и аналогичных документов), документально подтвержденных уполномоченными лицами проектной организации;</w:t>
      </w:r>
    </w:p>
    <w:p>
      <w:pPr>
        <w:pStyle w:val="ConsPlusNormal1"/>
        <w:ind w:left="1224" w:firstLine="709"/>
        <w:jc w:val="both"/>
        <w:rPr>
          <w:rFonts w:ascii="Cambria Math" w:hAnsi="Cambria Math" w:cs="Cambria Math"/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Ч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</m:oMath>
      <w:r>
        <w:rPr>
          <w:rFonts w:cs="Cambria Math" w:ascii="Cambria Math" w:hAnsi="Cambria Math"/>
          <w:sz w:val="24"/>
          <w:szCs w:val="24"/>
        </w:rPr>
        <w:t xml:space="preserve"> </w:t>
      </w:r>
      <w:r>
        <w:rPr>
          <w:rFonts w:cs="Cambria Math" w:ascii="Cambria Math" w:hAnsi="Cambria Math"/>
          <w:sz w:val="24"/>
          <w:szCs w:val="24"/>
        </w:rPr>
        <w:t>- численность исполнителей одинаковой квалификации, чел.;</w:t>
      </w:r>
    </w:p>
    <w:p>
      <w:pPr>
        <w:pStyle w:val="ConsPlusNormal1"/>
        <w:ind w:left="1224" w:firstLine="709"/>
        <w:jc w:val="both"/>
        <w:rPr>
          <w:rFonts w:ascii="Cambria Math" w:hAnsi="Cambria Math" w:cs="Cambria Math"/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T</m:t>
            </m:r>
          </m:e>
          <m:sub>
            <m:r>
              <w:rPr>
                <w:rFonts w:ascii="Cambria Math" w:hAnsi="Cambria Math"/>
              </w:rPr>
              <m:t xml:space="preserve">фi</m:t>
            </m:r>
          </m:sub>
        </m:sSub>
      </m:oMath>
      <w:r>
        <w:rPr>
          <w:rFonts w:cs="Cambria Math" w:ascii="Cambria Math" w:hAnsi="Cambria Math"/>
          <w:sz w:val="24"/>
          <w:szCs w:val="24"/>
        </w:rPr>
        <w:t xml:space="preserve"> </w:t>
      </w:r>
      <w:r>
        <w:rPr>
          <w:rFonts w:cs="Cambria Math" w:ascii="Cambria Math" w:hAnsi="Cambria Math"/>
          <w:sz w:val="24"/>
          <w:szCs w:val="24"/>
        </w:rPr>
        <w:t>- фактическое время работы исполнителей одинаковой квалификации, дни.</w:t>
      </w:r>
    </w:p>
    <w:p>
      <w:pPr>
        <w:pStyle w:val="ConsPlusNormal1"/>
        <w:ind w:left="1224" w:firstLine="709"/>
        <w:jc w:val="both"/>
        <w:rPr>
          <w:rFonts w:ascii="Cambria Math" w:hAnsi="Cambria Math" w:cs="Cambria Math"/>
          <w:sz w:val="24"/>
          <w:szCs w:val="24"/>
        </w:rPr>
      </w:pPr>
      <w:r>
        <w:rPr>
          <w:rFonts w:cs="Cambria Math" w:ascii="Cambria Math" w:hAnsi="Cambria Math"/>
          <w:sz w:val="24"/>
          <w:szCs w:val="24"/>
        </w:rPr>
        <w:t xml:space="preserve">Численность и должностные категории (квалификация) исполнителей, фактическое время работы исполнителей одинаковой квалификации определяются на основании положений документов по стандартизации согласно </w:t>
      </w:r>
      <w:hyperlink r:id="rId7">
        <w:r>
          <w:rPr>
            <w:rFonts w:cs="Cambria Math" w:ascii="Cambria Math" w:hAnsi="Cambria Math"/>
            <w:sz w:val="24"/>
            <w:szCs w:val="24"/>
          </w:rPr>
          <w:t>статье 14</w:t>
        </w:r>
      </w:hyperlink>
      <w:r>
        <w:rPr>
          <w:rFonts w:cs="Cambria Math" w:ascii="Cambria Math" w:hAnsi="Cambria Math"/>
          <w:sz w:val="24"/>
          <w:szCs w:val="24"/>
        </w:rPr>
        <w:t xml:space="preserve"> Федерального закона от 29 июня 2015 г. N 162-ФЗ "О стандартизации в Российской Федерации" (Собрание законодательства Российской Федерации, 2015, N 27, ст. 3953; 2021, N 1, ст. 62), стандартов процесса подготовки проектной документации согласно </w:t>
      </w:r>
      <w:hyperlink r:id="rId8">
        <w:r>
          <w:rPr>
            <w:rFonts w:cs="Cambria Math" w:ascii="Cambria Math" w:hAnsi="Cambria Math"/>
            <w:sz w:val="24"/>
            <w:szCs w:val="24"/>
          </w:rPr>
          <w:t>пункту 10 части 8 статьи 55.20</w:t>
        </w:r>
      </w:hyperlink>
      <w:r>
        <w:rPr>
          <w:rFonts w:cs="Cambria Math" w:ascii="Cambria Math" w:hAnsi="Cambria Math"/>
          <w:sz w:val="24"/>
          <w:szCs w:val="24"/>
        </w:rPr>
        <w:t xml:space="preserve"> Градостроительного кодекса Российской Федерации (Собрание законодательства Российской Федерации, 2005, N 1, ст. 16; 2018, N 32, ст. 5133), норм проектирования, данных о трудоемкости объектов-аналогов, результатов опроса, проведенного среди не менее трех проектных организаций, специализирующихся на выполнение проектных работ, на которые подготавливается смета, таблиц технологического процесса выполнения проектных работ по объекту, продолжительности выполняемых работ, указанных в календарном плане к договору на выполнение проектных работ, данных о времени и количестве исполнителей определенной квалификации, принимающих участие в выполнении проектных работ, которые должны быть подписаны руководителем проектной организации, предоставляющей такие данные, и заверены ее печатью.</w:t>
      </w:r>
    </w:p>
    <w:p>
      <w:pPr>
        <w:pStyle w:val="ConsPlusNormal1"/>
        <w:numPr>
          <w:ilvl w:val="1"/>
          <w:numId w:val="6"/>
        </w:numPr>
        <w:suppressAutoHyphens w:val="false"/>
        <w:jc w:val="both"/>
        <w:rPr>
          <w:rFonts w:ascii="Cambria Math" w:hAnsi="Cambria Math" w:cs="Cambria Math"/>
          <w:sz w:val="24"/>
          <w:szCs w:val="24"/>
        </w:rPr>
      </w:pPr>
      <w:r>
        <w:rPr>
          <w:rFonts w:cs="Cambria Math" w:ascii="Cambria Math" w:hAnsi="Cambria Math"/>
          <w:sz w:val="24"/>
          <w:szCs w:val="24"/>
        </w:rPr>
        <w:t>Стоимость НИР, определяемых в соответствии с калькуляцией затрат, не учитывает командировочные расходы, определяемые дополнительно.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1134" w:leader="none"/>
        </w:tabs>
        <w:suppressAutoHyphens w:val="false"/>
        <w:spacing w:lineRule="auto" w:line="276"/>
        <w:ind w:left="0" w:firstLine="709"/>
        <w:jc w:val="both"/>
        <w:rPr>
          <w:rFonts w:ascii="Cambria Math" w:hAnsi="Cambria Math" w:eastAsia="Times New Roman" w:cs="Cambria Math"/>
        </w:rPr>
      </w:pPr>
      <w:r>
        <w:rPr>
          <w:rFonts w:eastAsia="Times New Roman" w:cs="Cambria Math" w:ascii="Cambria Math" w:hAnsi="Cambria Math"/>
        </w:rPr>
        <w:t>Для обоснования командировочных расходов предоставляется отдельно выполненный расчет (форма 4п)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left="1224" w:firstLine="567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8"/>
          <w:tab w:val="left" w:pos="993" w:leader="none"/>
        </w:tabs>
        <w:ind w:left="122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Командировочные расходы включаются в сметный расчет отдельной строкой  по отдельно выполненному расчету (прил. № 2 к ПЗ)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left="122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ind w:left="1224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Лимиты командировочных расходов при производстве ПР </w:t>
      </w:r>
      <w:r>
        <w:rPr>
          <w:color w:val="000000"/>
          <w:sz w:val="24"/>
          <w:szCs w:val="24"/>
          <w:u w:val="single"/>
        </w:rPr>
        <w:t>не более</w:t>
      </w:r>
      <w:r>
        <w:rPr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60"/>
        <w:ind w:left="0"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суточные - 700 руб./сутки;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60"/>
        <w:ind w:left="0"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проживание – 5000 руб./сутки;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  <w:tab w:val="left" w:pos="1080" w:leader="none"/>
        </w:tabs>
        <w:suppressAutoHyphens w:val="false"/>
        <w:spacing w:before="0" w:after="60"/>
        <w:ind w:left="0"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before="0" w:after="60"/>
        <w:ind w:left="1224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При учете командировочных расходов стоимость проезда (авиа-, ж/д, …) определяется Методом анализа ТКП в соответствии с Методикой формирования плановой цены на закупаемую продукцию для организаций Группы РусГидро (далее – Методика ПЦ) См. приложение №3 к ПЗ.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pacing w:before="0" w:after="60"/>
        <w:ind w:left="1224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наличии командированных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tabs>
          <w:tab w:val="clear" w:pos="708"/>
          <w:tab w:val="left" w:pos="1080" w:leader="none"/>
        </w:tabs>
        <w:spacing w:before="0" w:after="60"/>
        <w:ind w:left="993" w:hanging="50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9"/>
          <w:headerReference w:type="first" r:id="rId10"/>
          <w:footnotePr>
            <w:numFmt w:val="decimal"/>
            <w:numRestart w:val="eachPage"/>
          </w:footnotePr>
          <w:type w:val="nextPage"/>
          <w:pgSz w:w="11906" w:h="16838"/>
          <w:pgMar w:left="1304" w:right="924" w:gutter="0" w:header="709" w:top="851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1080" w:leader="none"/>
        </w:tabs>
        <w:spacing w:before="0" w:after="60"/>
        <w:ind w:left="993" w:hanging="50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080" w:leader="none"/>
        </w:tabs>
        <w:spacing w:before="0" w:after="60"/>
        <w:ind w:left="993" w:hanging="504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1080" w:leader="none"/>
        </w:tabs>
        <w:spacing w:before="0" w:after="0"/>
        <w:ind w:left="993" w:hanging="0"/>
        <w:contextualSpacing/>
        <w:jc w:val="both"/>
        <w:rPr/>
      </w:pPr>
      <w:r>
        <w:rPr/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  <w:t>Приложение №1</w:t>
      </w:r>
    </w:p>
    <w:p>
      <w:pPr>
        <w:pStyle w:val="Normal"/>
        <w:jc w:val="right"/>
        <w:rPr>
          <w:sz w:val="20"/>
        </w:rPr>
      </w:pPr>
      <w:r>
        <w:rPr>
          <w:sz w:val="20"/>
        </w:rPr>
        <w:t>к пояснительной записке по заполнению формы 3П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СМЕТА №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1246" w:firstLine="113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>
      <w:pPr>
        <w:pStyle w:val="Normal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(наименование объекта)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142" w:hanging="0"/>
        <w:jc w:val="both"/>
        <w:rPr>
          <w:sz w:val="24"/>
          <w:szCs w:val="24"/>
        </w:rPr>
      </w:pPr>
      <w:r>
        <w:rPr>
          <w:sz w:val="24"/>
          <w:szCs w:val="24"/>
        </w:rPr>
        <w:t>Заказчик ________________________________________________________________</w:t>
      </w:r>
    </w:p>
    <w:p>
      <w:pPr>
        <w:pStyle w:val="Normal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(наименование организации)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1246" w:hanging="0"/>
        <w:rPr>
          <w:sz w:val="24"/>
          <w:szCs w:val="24"/>
        </w:rPr>
      </w:pPr>
      <w:r>
        <w:rPr>
          <w:sz w:val="24"/>
          <w:szCs w:val="24"/>
        </w:rPr>
        <w:t>Проектная организация ___________________________________________________</w:t>
      </w:r>
    </w:p>
    <w:p>
      <w:pPr>
        <w:pStyle w:val="Normal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(наименование организации)</w:t>
      </w:r>
    </w:p>
    <w:p>
      <w:pPr>
        <w:pStyle w:val="Normal"/>
        <w:ind w:right="1246" w:hanging="0"/>
        <w:jc w:val="both"/>
        <w:rPr>
          <w:sz w:val="24"/>
          <w:szCs w:val="24"/>
        </w:rPr>
      </w:pPr>
      <w:r>
        <w:rPr>
          <w:sz w:val="24"/>
          <w:szCs w:val="24"/>
        </w:rPr>
        <w:t>Составлена в уровне цен на ___________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Расчет коэффициента, учитывающего степень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участия исполнителей различной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квалификации в выполнении научно-исследовательских работ (Ккв-уч)</w:t>
      </w:r>
    </w:p>
    <w:tbl>
      <w:tblPr>
        <w:tblW w:w="991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57"/>
        <w:gridCol w:w="1418"/>
        <w:gridCol w:w="1557"/>
        <w:gridCol w:w="1845"/>
        <w:gridCol w:w="1415"/>
        <w:gridCol w:w="1419"/>
        <w:gridCol w:w="1700"/>
      </w:tblGrid>
      <w:tr>
        <w:trPr/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должностей исполнителей</w:t>
            </w:r>
          </w:p>
        </w:tc>
        <w:tc>
          <w:tcPr>
            <w:tcW w:w="1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Фактическое время участия исполнителя в работе, Тф (дни)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Плановая продолжительность выполнения работ, предусмотренных калькуляцией, Тп (дни)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исполнителей одной квалификации Чi (чел)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уровня квалификации специалистов исполнителей работы И</w:t>
            </w:r>
            <w:r>
              <w:rPr>
                <w:rFonts w:cs="Times New Roman" w:ascii="Times New Roman" w:hAnsi="Times New Roman"/>
                <w:lang w:val="en-US"/>
              </w:rPr>
              <w:t>i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Коэффициент квалификации (участия) специалистов одной квалификации,</w:t>
            </w:r>
          </w:p>
          <w:p>
            <w:pPr>
              <w:pStyle w:val="ConsPlusNormal1"/>
              <w:widowControl w:val="false"/>
              <w:ind w:firstLine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∑</w:t>
            </w:r>
            <w:r>
              <w:rPr>
                <w:rFonts w:cs="Times New Roman" w:ascii="Times New Roman" w:hAnsi="Times New Roman"/>
              </w:rPr>
              <w:t>(гр.3/итог гр.4 х гр.5 х гр.6) / ∑гр.5</w:t>
            </w:r>
          </w:p>
        </w:tc>
      </w:tr>
      <w:tr>
        <w:trPr/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/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51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51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51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sectPr>
          <w:headerReference w:type="default" r:id="rId11"/>
          <w:headerReference w:type="first" r:id="rId12"/>
          <w:footnotePr>
            <w:numFmt w:val="decimal"/>
            <w:numRestart w:val="eachPage"/>
          </w:footnotePr>
          <w:type w:val="nextPage"/>
          <w:pgSz w:w="11906" w:h="16838"/>
          <w:pgMar w:left="1304" w:right="924" w:gutter="0" w:header="709" w:top="851" w:footer="0" w:bottom="720"/>
          <w:pgNumType w:fmt="decimal"/>
          <w:formProt w:val="false"/>
          <w:textDirection w:val="lrTb"/>
          <w:docGrid w:type="default" w:linePitch="360" w:charSpace="0"/>
        </w:sect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Примечание: &lt;*&gt; Графы для расчета коэффициента в таблице не заполняются</w:t>
      </w:r>
    </w:p>
    <w:tbl>
      <w:tblPr>
        <w:tblW w:w="159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761"/>
        <w:gridCol w:w="984"/>
        <w:gridCol w:w="1645"/>
        <w:gridCol w:w="1604"/>
        <w:gridCol w:w="1746"/>
        <w:gridCol w:w="1253"/>
        <w:gridCol w:w="2122"/>
        <w:gridCol w:w="1524"/>
        <w:gridCol w:w="1569"/>
        <w:gridCol w:w="1733"/>
      </w:tblGrid>
      <w:tr>
        <w:trPr>
          <w:trHeight w:val="281" w:hRule="atLeast"/>
        </w:trPr>
        <w:tc>
          <w:tcPr>
            <w:tcW w:w="15941" w:type="dxa"/>
            <w:gridSpan w:val="10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Расчет стоимости работ в соответствии с калькуляцией затрат </w:t>
            </w:r>
          </w:p>
        </w:tc>
      </w:tr>
      <w:tr>
        <w:trPr>
          <w:trHeight w:val="1690" w:hRule="atLeast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Среднемесячная зарплата исполнителей, руб. *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Кол-во рабочих дней в месяце, дни ** </w:t>
            </w:r>
          </w:p>
        </w:tc>
        <w:tc>
          <w:tcPr>
            <w:tcW w:w="16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Среднедневная зарплата исполнителей (гр.1/гр.2) руб.</w:t>
            </w:r>
          </w:p>
        </w:tc>
        <w:tc>
          <w:tcPr>
            <w:tcW w:w="1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Удельный вес зарплаты в себестоимости работ - Кз, % ***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Рентабельность, % ****</w:t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Средне-</w:t>
              <w:br/>
              <w:t xml:space="preserve">дневная единичная выработка, руб. (гр.3*(1 + гр.5))/гр.4 </w:t>
            </w:r>
          </w:p>
        </w:tc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Продолжительность разработки (дни) *****</w:t>
            </w: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Численность исполнителей (чел.)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квалификации (участия) К</w:t>
            </w:r>
            <w:r>
              <w:rPr>
                <w:color w:val="000000"/>
                <w:sz w:val="20"/>
                <w:szCs w:val="20"/>
              </w:rPr>
              <w:t>кв.уч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Стоимость работ, руб. С = (гр. 6 x гр. 7 x гр. 8 x гр. 9)</w:t>
            </w:r>
          </w:p>
        </w:tc>
      </w:tr>
    </w:tbl>
    <w:p>
      <w:pPr>
        <w:sectPr>
          <w:headerReference w:type="default" r:id="rId13"/>
          <w:headerReference w:type="first" r:id="rId14"/>
          <w:footnotePr>
            <w:numFmt w:val="decimal"/>
            <w:numRestart w:val="eachPage"/>
          </w:footnotePr>
          <w:type w:val="nextPage"/>
          <w:pgSz w:orient="landscape" w:w="16838" w:h="11906"/>
          <w:pgMar w:left="510" w:right="244" w:gutter="0" w:header="709" w:top="1304" w:footer="0" w:bottom="924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ind w:left="5670" w:hanging="0"/>
        <w:rPr>
          <w:sz w:val="20"/>
        </w:rPr>
      </w:pPr>
      <w:r>
        <w:rPr>
          <w:sz w:val="20"/>
        </w:rPr>
        <w:t>Приложение № 2</w:t>
      </w:r>
    </w:p>
    <w:p>
      <w:pPr>
        <w:pStyle w:val="Normal"/>
        <w:jc w:val="right"/>
        <w:rPr>
          <w:sz w:val="20"/>
        </w:rPr>
      </w:pPr>
      <w:r>
        <w:rPr>
          <w:sz w:val="20"/>
        </w:rPr>
        <w:t>к пояснительной записке по заполнению формы 3П</w:t>
      </w:r>
    </w:p>
    <w:p>
      <w:pPr>
        <w:pStyle w:val="Normal"/>
        <w:tabs>
          <w:tab w:val="clear" w:pos="708"/>
          <w:tab w:val="left" w:pos="1080" w:leader="none"/>
        </w:tabs>
        <w:ind w:left="567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Образец расчета командировочных расходов</w:t>
      </w:r>
    </w:p>
    <w:p>
      <w:pPr>
        <w:pStyle w:val="Normal"/>
        <w:ind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567"/>
        <w:jc w:val="right"/>
        <w:rPr>
          <w:b/>
          <w:sz w:val="24"/>
          <w:szCs w:val="24"/>
        </w:rPr>
      </w:pPr>
      <w:r>
        <w:rPr>
          <w:sz w:val="24"/>
          <w:szCs w:val="24"/>
        </w:rPr>
        <w:t>Приложение № __ к смете № __</w:t>
      </w:r>
    </w:p>
    <w:p>
      <w:pPr>
        <w:pStyle w:val="Normal"/>
        <w:ind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 командировочных расходов</w:t>
      </w:r>
    </w:p>
    <w:tbl>
      <w:tblPr>
        <w:tblW w:w="1000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8"/>
        <w:gridCol w:w="596"/>
        <w:gridCol w:w="830"/>
        <w:gridCol w:w="945"/>
        <w:gridCol w:w="1185"/>
        <w:gridCol w:w="695"/>
        <w:gridCol w:w="1118"/>
        <w:gridCol w:w="1214"/>
        <w:gridCol w:w="833"/>
        <w:gridCol w:w="878"/>
        <w:gridCol w:w="1189"/>
      </w:tblGrid>
      <w:tr>
        <w:trPr>
          <w:trHeight w:val="1467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пп.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назначения </w:t>
              <w:br/>
              <w:t>(туда / обратно)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транспорта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дней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суточных, руб./сут. </w:t>
              <w:br/>
              <w:t>(без НДС)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проживания, руб./сут. </w:t>
              <w:br/>
              <w:t>(без НДС)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командировок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командированных человек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стоимость командировочных расходов, руб. </w:t>
              <w:br/>
              <w:t>(без НДС)</w:t>
            </w:r>
          </w:p>
        </w:tc>
      </w:tr>
      <w:tr>
        <w:trPr>
          <w:trHeight w:val="214" w:hRule="atLeast"/>
        </w:trPr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 пункта 1 в пункт 5</w:t>
            </w:r>
          </w:p>
        </w:tc>
      </w:tr>
      <w:tr>
        <w:trPr>
          <w:trHeight w:val="418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1 в пункт 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18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2 в пункт 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14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>
        <w:trPr>
          <w:trHeight w:val="418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4 в пункт 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3" w:hRule="atLeast"/>
        </w:trPr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6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стоимость командировочных расходов из пункта 1 в пункт 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14" w:hRule="atLeast"/>
        </w:trPr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 пункта 5 в пункт 1</w:t>
            </w:r>
          </w:p>
        </w:tc>
      </w:tr>
      <w:tr>
        <w:trPr>
          <w:trHeight w:val="418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5 в пункт 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18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4 в пункт 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14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>
        <w:trPr>
          <w:trHeight w:val="418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пункта 2 в пункт 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3" w:hRule="atLeast"/>
        </w:trPr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6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стоимость командировочных расходов из пункта 5 в пункт 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6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стоимость командировочных расходов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  <w:t>Приложение №3</w:t>
      </w:r>
    </w:p>
    <w:p>
      <w:pPr>
        <w:pStyle w:val="Normal"/>
        <w:jc w:val="right"/>
        <w:rPr>
          <w:sz w:val="20"/>
        </w:rPr>
      </w:pPr>
      <w:r>
        <w:rPr>
          <w:sz w:val="20"/>
        </w:rPr>
        <w:t>к пояснительной записке по заполнению формы 3П</w:t>
      </w:r>
    </w:p>
    <w:p>
      <w:pPr>
        <w:pStyle w:val="Normal"/>
        <w:tabs>
          <w:tab w:val="clear" w:pos="708"/>
          <w:tab w:val="left" w:pos="11624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1624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Метода анализа ТКП</w:t>
      </w:r>
    </w:p>
    <w:p>
      <w:pPr>
        <w:pStyle w:val="Normal"/>
        <w:widowControl w:val="false"/>
        <w:spacing w:before="120" w:after="120"/>
        <w:ind w:left="851" w:hanging="0"/>
        <w:jc w:val="both"/>
        <w:rPr>
          <w:sz w:val="24"/>
          <w:szCs w:val="24"/>
        </w:rPr>
      </w:pPr>
      <w:bookmarkStart w:id="4" w:name="_Ref48596301"/>
      <w:bookmarkStart w:id="5" w:name="_Ref48341306"/>
      <w:r>
        <w:rPr/>
        <mc:AlternateContent>
          <mc:Choice Requires="wps">
            <w:drawing>
              <wp:anchor behindDoc="0" distT="0" distB="0" distL="114300" distR="0" simplePos="0" locked="0" layoutInCell="0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19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w:object>
          <v:shapetype id="_x0000_tole_rId15" coordsize="21600,21600" o:spt="ole_rId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" type="_x0000_tole_rId15" style="width:77.25pt;height:49.5pt;mso-wrap-distance-right:0pt;mso-wrap-distance-bottom:6pt" filled="f" o:ole="">
            <v:imagedata r:id="rId16" o:title=""/>
          </v:shape>
          <o:OLEObject Type="Embed" ProgID="Excel.Sheet.12" ShapeID="ole_rId15" DrawAspect="Icon" ObjectID="_238180909" r:id="rId15"/>
        </w:object>
      </w:r>
      <w:bookmarkEnd w:id="4"/>
      <w:bookmarkEnd w:id="5"/>
      <w:r>
        <w:br w:type="page"/>
      </w:r>
    </w:p>
    <w:p>
      <w:pPr>
        <w:pStyle w:val="Normal"/>
        <w:ind w:left="5670" w:hanging="0"/>
        <w:rPr>
          <w:sz w:val="20"/>
        </w:rPr>
      </w:pPr>
      <w:r>
        <w:rPr>
          <w:sz w:val="20"/>
        </w:rPr>
        <w:t>Приложение № 2</w:t>
      </w:r>
    </w:p>
    <w:p>
      <w:pPr>
        <w:pStyle w:val="Normal"/>
        <w:tabs>
          <w:tab w:val="clear" w:pos="708"/>
          <w:tab w:val="left" w:pos="1080" w:leader="none"/>
        </w:tabs>
        <w:ind w:left="5670" w:hanging="0"/>
        <w:jc w:val="both"/>
        <w:rPr>
          <w:sz w:val="20"/>
        </w:rPr>
      </w:pPr>
      <w:r>
        <w:rPr>
          <w:sz w:val="20"/>
        </w:rPr>
        <w:t>к Требованиям к оформлению и составлению смет или расчетов на выполнение услуг по программе НИР</w:t>
      </w:r>
    </w:p>
    <w:p>
      <w:pPr>
        <w:pStyle w:val="Normal"/>
        <w:tabs>
          <w:tab w:val="clear" w:pos="708"/>
          <w:tab w:val="left" w:pos="1080" w:leader="none"/>
        </w:tabs>
        <w:ind w:left="5670" w:hanging="0"/>
        <w:jc w:val="both"/>
        <w:rPr/>
      </w:pPr>
      <w:r>
        <w:rPr/>
      </w:r>
    </w:p>
    <w:p>
      <w:pPr>
        <w:pStyle w:val="Normal"/>
        <w:shd w:val="clear" w:color="auto" w:fill="FFFFFF"/>
        <w:ind w:firstLine="284"/>
        <w:jc w:val="center"/>
        <w:rPr>
          <w:b/>
          <w:bCs/>
          <w:iCs/>
          <w:spacing w:val="-4"/>
        </w:rPr>
      </w:pPr>
      <w:r>
        <w:rPr>
          <w:b/>
          <w:bCs/>
          <w:iCs/>
          <w:spacing w:val="-4"/>
        </w:rPr>
        <w:t>Образцы оформления сметной документации на НИР</w:t>
      </w:r>
    </w:p>
    <w:p>
      <w:pPr>
        <w:pStyle w:val="Normal"/>
        <w:shd w:val="clear" w:color="auto" w:fill="FFFFFF"/>
        <w:ind w:firstLine="284"/>
        <w:jc w:val="center"/>
        <w:rPr>
          <w:b/>
          <w:bCs/>
          <w:iCs/>
          <w:spacing w:val="-4"/>
          <w:sz w:val="24"/>
          <w:szCs w:val="24"/>
        </w:rPr>
      </w:pPr>
      <w:r>
        <w:rPr>
          <w:b/>
          <w:bCs/>
          <w:iCs/>
          <w:spacing w:val="-4"/>
          <w:sz w:val="24"/>
          <w:szCs w:val="24"/>
        </w:rPr>
      </w:r>
    </w:p>
    <w:p>
      <w:pPr>
        <w:pStyle w:val="Normal"/>
        <w:shd w:val="clear" w:color="auto" w:fill="FFFFFF"/>
        <w:ind w:left="284" w:hanging="0"/>
        <w:rPr>
          <w:b/>
        </w:rPr>
      </w:pPr>
      <w:r>
        <w:rPr>
          <w:b/>
        </w:rPr>
        <w:t>Образец 2П</w:t>
      </w:r>
    </w:p>
    <w:tbl>
      <w:tblPr>
        <w:tblW w:w="93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Normal"/>
              <w:widowControl w:val="false"/>
              <w:shd w:val="clear" w:color="auto" w:fill="FFFFFF"/>
              <w:ind w:left="5530" w:hanging="0"/>
              <w:rPr>
                <w:sz w:val="20"/>
                <w:szCs w:val="20"/>
              </w:rPr>
            </w:pPr>
            <w:r>
              <w:rPr>
                <w:sz w:val="20"/>
              </w:rPr>
              <w:t>Приложение №_____</w:t>
            </w:r>
          </w:p>
          <w:p>
            <w:pPr>
              <w:pStyle w:val="Normal"/>
              <w:widowControl w:val="false"/>
              <w:shd w:val="clear" w:color="auto" w:fill="FFFFFF"/>
              <w:ind w:left="5530" w:hanging="0"/>
              <w:rPr>
                <w:sz w:val="20"/>
              </w:rPr>
            </w:pPr>
            <w:r>
              <w:rPr>
                <w:sz w:val="20"/>
              </w:rPr>
              <w:t>к договору, дополнительному соглашению</w:t>
            </w:r>
            <w:r>
              <w:rPr>
                <w:sz w:val="20"/>
                <w:szCs w:val="20"/>
              </w:rPr>
              <w:t xml:space="preserve"> №____от _______</w:t>
            </w:r>
          </w:p>
          <w:p>
            <w:pPr>
              <w:pStyle w:val="Normal"/>
              <w:widowControl w:val="false"/>
              <w:shd w:val="clear" w:color="auto" w:fill="FFFFFF"/>
              <w:ind w:left="3829" w:hanging="0"/>
              <w:rPr/>
            </w:pPr>
            <w:r>
              <w:rPr/>
            </w:r>
          </w:p>
          <w:tbl>
            <w:tblPr>
              <w:tblW w:w="913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noHBand="0" w:noVBand="0" w:firstColumn="0" w:lastRow="0" w:lastColumn="0" w:firstRow="0"/>
            </w:tblPr>
            <w:tblGrid>
              <w:gridCol w:w="4163"/>
              <w:gridCol w:w="4974"/>
            </w:tblGrid>
            <w:tr>
              <w:trPr>
                <w:trHeight w:val="417" w:hRule="atLeast"/>
              </w:trPr>
              <w:tc>
                <w:tcPr>
                  <w:tcW w:w="4163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rPr>
                      <w:sz w:val="20"/>
                      <w:szCs w:val="20"/>
                    </w:rPr>
                  </w:pPr>
                  <w:r>
                    <w:rPr/>
                    <w:t>_________________(</w:t>
                  </w:r>
                  <w:r>
                    <w:rPr>
                      <w:sz w:val="20"/>
                      <w:szCs w:val="20"/>
                    </w:rPr>
                    <w:t>Исполнитель)</w:t>
                  </w:r>
                </w:p>
                <w:p>
                  <w:pPr>
                    <w:pStyle w:val="Normal"/>
                    <w:widowControl w:val="false"/>
                    <w:rPr/>
                  </w:pPr>
                  <w:r>
                    <w:rPr/>
                    <w:t>_________________Ф.И.О.</w:t>
                  </w:r>
                </w:p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4974" w:type="dxa"/>
                  <w:tcBorders/>
                </w:tcPr>
                <w:p>
                  <w:pPr>
                    <w:pStyle w:val="Normal"/>
                    <w:widowControl w:val="false"/>
                    <w:ind w:left="1460" w:hanging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ind w:left="1460" w:hanging="0"/>
                    <w:rPr>
                      <w:bCs/>
                    </w:rPr>
                  </w:pPr>
                  <w:r>
                    <w:rPr>
                      <w:bCs/>
                    </w:rPr>
                    <w:t>_________________(</w:t>
                  </w:r>
                  <w:r>
                    <w:rPr>
                      <w:bCs/>
                      <w:sz w:val="20"/>
                      <w:szCs w:val="20"/>
                    </w:rPr>
                    <w:t>Заказчик)</w:t>
                  </w:r>
                </w:p>
                <w:p>
                  <w:pPr>
                    <w:pStyle w:val="Normal"/>
                    <w:widowControl w:val="false"/>
                    <w:ind w:left="1460" w:hanging="0"/>
                    <w:rPr/>
                  </w:pPr>
                  <w:r>
                    <w:rPr/>
                    <w:t>_________________Ф.И.О.</w:t>
                  </w:r>
                </w:p>
                <w:p>
                  <w:pPr>
                    <w:pStyle w:val="Normal"/>
                    <w:widowControl w:val="false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СМЕТА № </w:t>
              <w:br/>
              <w:t>на научно-исследовательские работы (НИР)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предприятия, здания, сооружения, стадии проектирования, этапа, вида 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НИР___________________________________________________________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исполнителя_________________________________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pBdr>
                <w:bottom w:val="single" w:sz="12" w:space="1" w:color="00000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заказчика_________________________________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000" w:noHBand="0" w:noVBand="0" w:firstColumn="0" w:lastRow="0" w:lastColumn="0" w:firstRow="0"/>
            </w:tblPr>
            <w:tblGrid>
              <w:gridCol w:w="570"/>
              <w:gridCol w:w="1998"/>
              <w:gridCol w:w="3147"/>
              <w:gridCol w:w="2343"/>
              <w:gridCol w:w="1080"/>
            </w:tblGrid>
            <w:tr>
              <w:trPr>
                <w:tblHeader w:val="true"/>
              </w:trPr>
              <w:tc>
                <w:tcPr>
                  <w:tcW w:w="57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№ </w:t>
                  </w:r>
                  <w:r>
                    <w:rPr>
                      <w:sz w:val="20"/>
                    </w:rPr>
                    <w:t>пп</w:t>
                  </w:r>
                </w:p>
              </w:tc>
              <w:tc>
                <w:tcPr>
                  <w:tcW w:w="199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314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      </w:r>
                </w:p>
              </w:tc>
              <w:tc>
                <w:tcPr>
                  <w:tcW w:w="234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Расчет стоимости: 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</w:rPr>
                    <w:t xml:space="preserve">(a + bx) </w:t>
                  </w:r>
                  <w:r>
                    <w:rPr>
                      <w:rFonts w:eastAsia="Symbol" w:cs="Symbol" w:ascii="Symbol" w:hAnsi="Symbol"/>
                      <w:sz w:val="20"/>
                    </w:rPr>
                    <w:sym w:font="Symbol" w:char="f0b4"/>
                  </w:r>
                  <w:r>
                    <w:rPr>
                      <w:sz w:val="20"/>
                    </w:rPr>
                    <w:t xml:space="preserve"> K</w:t>
                  </w:r>
                  <w:r>
                    <w:rPr>
                      <w:sz w:val="20"/>
                      <w:vertAlign w:val="subscript"/>
                    </w:rPr>
                    <w:t>i</w:t>
                  </w:r>
                  <w:r>
                    <w:rPr>
                      <w:sz w:val="20"/>
                    </w:rPr>
                    <w:t xml:space="preserve">, или (объем строительно-монтажных работ) </w:t>
                  </w:r>
                  <w:r>
                    <w:rPr>
                      <w:rFonts w:eastAsia="Symbol" w:cs="Symbol" w:ascii="Symbol" w:hAnsi="Symbol"/>
                      <w:sz w:val="20"/>
                    </w:rPr>
                    <w:sym w:font="Symbol" w:char="f0b4"/>
                  </w:r>
                  <w:r>
                    <w:rPr>
                      <w:sz w:val="20"/>
                    </w:rPr>
                    <w:t xml:space="preserve"> проц.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Стоимость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570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199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314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  <w:tc>
                <w:tcPr>
                  <w:tcW w:w="234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или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количество </w:t>
                  </w:r>
                  <w:r>
                    <w:rPr>
                      <w:rFonts w:eastAsia="Symbol" w:cs="Symbol" w:ascii="Symbol" w:hAnsi="Symbol"/>
                      <w:sz w:val="20"/>
                    </w:rPr>
                    <w:sym w:font="Symbol" w:char="f0b4"/>
                  </w:r>
                  <w:r>
                    <w:rPr>
                      <w:sz w:val="20"/>
                    </w:rPr>
                    <w:t xml:space="preserve"> цена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  <w:tr>
              <w:trPr>
                <w:tblHeader w:val="true"/>
              </w:trPr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99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314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34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>
              <w:trPr/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/>
                    <w:t> </w:t>
                  </w:r>
                </w:p>
              </w:tc>
              <w:tc>
                <w:tcPr>
                  <w:tcW w:w="199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/>
                    <w:t> </w:t>
                  </w:r>
                </w:p>
              </w:tc>
              <w:tc>
                <w:tcPr>
                  <w:tcW w:w="314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/>
                    <w:t> </w:t>
                  </w:r>
                </w:p>
              </w:tc>
              <w:tc>
                <w:tcPr>
                  <w:tcW w:w="234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/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/>
                    <w:t> </w:t>
                  </w:r>
                </w:p>
              </w:tc>
            </w:tr>
            <w:tr>
              <w:trPr/>
              <w:tc>
                <w:tcPr>
                  <w:tcW w:w="57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/>
                    <w:t> </w:t>
                  </w:r>
                </w:p>
              </w:tc>
              <w:tc>
                <w:tcPr>
                  <w:tcW w:w="199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/>
                    <w:t> </w:t>
                  </w:r>
                </w:p>
              </w:tc>
              <w:tc>
                <w:tcPr>
                  <w:tcW w:w="314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/>
                    <w:t> </w:t>
                  </w:r>
                </w:p>
              </w:tc>
              <w:tc>
                <w:tcPr>
                  <w:tcW w:w="234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/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rPr>
                      <w:sz w:val="24"/>
                      <w:szCs w:val="24"/>
                    </w:rPr>
                  </w:pPr>
                  <w:r>
                    <w:rPr/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Составил:_________/должность, организация/____________/подпись/____________/расшифровка подписи/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Проверил:_____________/должность, организация/____________ /подпись/____________/расшифровка подписи/</w:t>
            </w:r>
          </w:p>
        </w:tc>
      </w:tr>
    </w:tbl>
    <w:p>
      <w:pPr>
        <w:sectPr>
          <w:headerReference w:type="default" r:id="rId17"/>
          <w:headerReference w:type="first" r:id="rId18"/>
          <w:footnotePr>
            <w:numFmt w:val="decimal"/>
            <w:numRestart w:val="eachPage"/>
          </w:footnotePr>
          <w:type w:val="nextPage"/>
          <w:pgSz w:w="11906" w:h="16838"/>
          <w:pgMar w:left="1701" w:right="851" w:gutter="0" w:header="709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5670" w:hanging="0"/>
        <w:rPr>
          <w:sz w:val="20"/>
        </w:rPr>
      </w:pPr>
      <w:r>
        <w:rPr>
          <w:sz w:val="20"/>
        </w:rPr>
        <w:t>Приложение № 3</w:t>
      </w:r>
    </w:p>
    <w:p>
      <w:pPr>
        <w:pStyle w:val="Normal"/>
        <w:tabs>
          <w:tab w:val="clear" w:pos="708"/>
          <w:tab w:val="left" w:pos="1080" w:leader="none"/>
        </w:tabs>
        <w:ind w:left="5670" w:hanging="0"/>
        <w:jc w:val="both"/>
        <w:rPr>
          <w:sz w:val="20"/>
        </w:rPr>
      </w:pPr>
      <w:r>
        <w:rPr>
          <w:sz w:val="20"/>
        </w:rPr>
        <w:t>к Требованиям к оформлению и составлению смет или расчетов на выполнение услуг по программе НИР</w:t>
      </w:r>
    </w:p>
    <w:p>
      <w:pPr>
        <w:pStyle w:val="Normal"/>
        <w:rPr>
          <w:b/>
        </w:rPr>
      </w:pPr>
      <w:r>
        <w:rPr>
          <w:b/>
        </w:rPr>
        <w:t>Образец</w:t>
      </w:r>
    </w:p>
    <w:p>
      <w:pPr>
        <w:pStyle w:val="Normal"/>
        <w:shd w:val="clear" w:color="auto" w:fill="FFFFFF"/>
        <w:ind w:left="5530" w:hanging="0"/>
        <w:rPr>
          <w:sz w:val="20"/>
          <w:szCs w:val="20"/>
        </w:rPr>
      </w:pPr>
      <w:r>
        <w:rPr>
          <w:sz w:val="20"/>
        </w:rPr>
        <w:t>Приложение №_____</w:t>
      </w:r>
    </w:p>
    <w:p>
      <w:pPr>
        <w:pStyle w:val="Normal"/>
        <w:shd w:val="clear" w:color="auto" w:fill="FFFFFF"/>
        <w:ind w:left="5530" w:hanging="0"/>
        <w:rPr>
          <w:sz w:val="20"/>
        </w:rPr>
      </w:pPr>
      <w:r>
        <w:rPr>
          <w:sz w:val="20"/>
        </w:rPr>
        <w:t>к договору, дополнительному соглашению</w:t>
      </w:r>
      <w:r>
        <w:rPr>
          <w:sz w:val="20"/>
          <w:szCs w:val="20"/>
        </w:rPr>
        <w:t xml:space="preserve"> №____от _______</w:t>
      </w:r>
    </w:p>
    <w:p>
      <w:pPr>
        <w:pStyle w:val="Normal"/>
        <w:shd w:val="clear" w:color="auto" w:fill="FFFFFF"/>
        <w:ind w:left="5530" w:hanging="0"/>
        <w:rPr/>
      </w:pPr>
      <w:r>
        <w:rPr/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77"/>
        <w:gridCol w:w="4976"/>
      </w:tblGrid>
      <w:tr>
        <w:trPr>
          <w:trHeight w:val="417" w:hRule="atLeast"/>
        </w:trPr>
        <w:tc>
          <w:tcPr>
            <w:tcW w:w="4377" w:type="dxa"/>
            <w:tcBorders/>
            <w:vAlign w:val="bottom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СОГЛАСОВАНО: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/>
              <w:t>_________________(</w:t>
            </w:r>
            <w:r>
              <w:rPr>
                <w:sz w:val="20"/>
                <w:szCs w:val="20"/>
              </w:rPr>
              <w:t>Исполнитель)</w:t>
            </w:r>
          </w:p>
          <w:p>
            <w:pPr>
              <w:pStyle w:val="Normal"/>
              <w:widowControl w:val="false"/>
              <w:rPr/>
            </w:pPr>
            <w:r>
              <w:rPr/>
              <w:t>_________________Ф.И.О.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76" w:type="dxa"/>
            <w:tcBorders/>
          </w:tcPr>
          <w:p>
            <w:pPr>
              <w:pStyle w:val="Normal"/>
              <w:widowControl w:val="false"/>
              <w:ind w:left="1460" w:hanging="0"/>
              <w:rPr>
                <w:b/>
                <w:bCs/>
              </w:rPr>
            </w:pPr>
            <w:r>
              <w:rPr>
                <w:b/>
                <w:bCs/>
              </w:rPr>
              <w:t>УТВЕРЖДАЮ:</w:t>
            </w:r>
          </w:p>
          <w:p>
            <w:pPr>
              <w:pStyle w:val="Normal"/>
              <w:widowControl w:val="false"/>
              <w:ind w:left="1460" w:hanging="0"/>
              <w:rPr>
                <w:bCs/>
              </w:rPr>
            </w:pPr>
            <w:r>
              <w:rPr>
                <w:bCs/>
              </w:rPr>
              <w:t>_________________(</w:t>
            </w:r>
            <w:r>
              <w:rPr>
                <w:bCs/>
                <w:sz w:val="20"/>
                <w:szCs w:val="20"/>
              </w:rPr>
              <w:t>Заказчик)</w:t>
            </w:r>
          </w:p>
          <w:p>
            <w:pPr>
              <w:pStyle w:val="Normal"/>
              <w:widowControl w:val="false"/>
              <w:ind w:left="1460" w:hanging="0"/>
              <w:rPr/>
            </w:pPr>
            <w:r>
              <w:rPr/>
              <w:t>_________________Ф.И.О</w:t>
            </w:r>
          </w:p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СВОДНАЯ СМЕТА № </w:t>
        <w:br/>
        <w:t>на научно-исследовательские работы (НИР)</w:t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Наименование предприятия, здания, сооружения, стадии проектирования, этапа, вида 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НИР___________________________________________________________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Наименование организации исполнителя_________________________________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Наименование организации заказчика_________________________________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Составлена в текущих ценах, соответствующих периоду выполнения работ по договору</w:t>
      </w:r>
    </w:p>
    <w:p>
      <w:pPr>
        <w:pStyle w:val="Normal"/>
        <w:jc w:val="right"/>
        <w:rPr/>
      </w:pPr>
      <w:r>
        <w:rPr/>
        <w:t>руб.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92"/>
        <w:gridCol w:w="3743"/>
        <w:gridCol w:w="1558"/>
        <w:gridCol w:w="3560"/>
      </w:tblGrid>
      <w:tr>
        <w:trPr>
          <w:tblHeader w:val="true"/>
          <w:trHeight w:val="873" w:hRule="atLeast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п.п.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Перечень (наименование) выполняемых работ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Ссылка на № смет и расчетов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Стоимость работ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blHeader w:val="true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</w:t>
            </w:r>
          </w:p>
        </w:tc>
      </w:tr>
      <w:tr>
        <w:trPr/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/>
              <w:t> 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/>
              <w:t> </w:t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</w:rPr>
            </w:pPr>
            <w:r>
              <w:rPr/>
              <w:t> </w:t>
            </w:r>
          </w:p>
        </w:tc>
      </w:tr>
    </w:tbl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Итого по смете ___________________________________________________</w:t>
      </w:r>
    </w:p>
    <w:p>
      <w:pPr>
        <w:pStyle w:val="Normal"/>
        <w:shd w:val="clear" w:color="auto" w:fill="FFFFFF"/>
        <w:ind w:firstLine="1845"/>
        <w:jc w:val="center"/>
        <w:rPr/>
      </w:pPr>
      <w:r>
        <w:rPr/>
        <w:t>(сумма прописью)</w:t>
      </w:r>
    </w:p>
    <w:p>
      <w:pPr>
        <w:pStyle w:val="Normal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Составил:_________/должность, организация/___________/подпись/_____________/расшифровка подписи/</w:t>
      </w:r>
    </w:p>
    <w:p>
      <w:pPr>
        <w:pStyle w:val="Normal"/>
        <w:shd w:val="clear" w:color="auto" w:fill="FFFFFF"/>
        <w:rPr/>
      </w:pPr>
      <w:r>
        <w:rPr/>
      </w:r>
    </w:p>
    <w:p>
      <w:pPr>
        <w:sectPr>
          <w:headerReference w:type="default" r:id="rId19"/>
          <w:headerReference w:type="first" r:id="rId20"/>
          <w:footnotePr>
            <w:numFmt w:val="decimal"/>
            <w:numRestart w:val="eachPage"/>
          </w:footnotePr>
          <w:type w:val="nextPage"/>
          <w:pgSz w:w="11906" w:h="16838"/>
          <w:pgMar w:left="1701" w:right="851" w:gutter="0" w:header="709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sz w:val="20"/>
          <w:szCs w:val="20"/>
        </w:rPr>
      </w:pPr>
      <w:r>
        <w:rPr>
          <w:sz w:val="20"/>
          <w:szCs w:val="20"/>
        </w:rPr>
        <w:t>Проверил:___________/должность, организация/_____________/подпись/___________/расшифровка подписи/</w:t>
      </w:r>
    </w:p>
    <w:p>
      <w:pPr>
        <w:pStyle w:val="Normal"/>
        <w:ind w:left="5670" w:hanging="0"/>
        <w:rPr>
          <w:sz w:val="20"/>
        </w:rPr>
      </w:pPr>
      <w:r>
        <w:rPr>
          <w:sz w:val="20"/>
        </w:rPr>
        <w:t>Приложение № 3.1</w:t>
      </w:r>
    </w:p>
    <w:p>
      <w:pPr>
        <w:pStyle w:val="Normal"/>
        <w:tabs>
          <w:tab w:val="clear" w:pos="708"/>
          <w:tab w:val="left" w:pos="1080" w:leader="none"/>
        </w:tabs>
        <w:ind w:left="5670" w:hanging="0"/>
        <w:jc w:val="both"/>
        <w:rPr>
          <w:sz w:val="20"/>
        </w:rPr>
      </w:pPr>
      <w:r>
        <w:rPr>
          <w:sz w:val="20"/>
        </w:rPr>
        <w:t>к Требованиям к оформлению и составлению смет или расчетов на выполнение услуг по программе НИР</w:t>
      </w:r>
    </w:p>
    <w:p>
      <w:pPr>
        <w:pStyle w:val="Normal"/>
        <w:rPr>
          <w:b/>
        </w:rPr>
      </w:pPr>
      <w:r>
        <w:rPr>
          <w:b/>
        </w:rPr>
        <w:t>Образец сводной сметы в накопительной форме</w:t>
      </w:r>
    </w:p>
    <w:p>
      <w:pPr>
        <w:pStyle w:val="Normal"/>
        <w:shd w:val="clear" w:color="auto" w:fill="FFFFFF"/>
        <w:ind w:left="5670" w:hanging="0"/>
        <w:rPr>
          <w:sz w:val="20"/>
          <w:szCs w:val="20"/>
        </w:rPr>
      </w:pPr>
      <w:r>
        <w:rPr>
          <w:sz w:val="20"/>
        </w:rPr>
        <w:t>Приложение №_____</w:t>
      </w:r>
    </w:p>
    <w:p>
      <w:pPr>
        <w:pStyle w:val="Normal"/>
        <w:shd w:val="clear" w:color="auto" w:fill="FFFFFF"/>
        <w:ind w:left="5670" w:hanging="0"/>
        <w:rPr>
          <w:sz w:val="20"/>
        </w:rPr>
      </w:pPr>
      <w:r>
        <w:rPr>
          <w:sz w:val="20"/>
        </w:rPr>
        <w:t>к дополнительному соглашению</w:t>
      </w:r>
      <w:r>
        <w:rPr>
          <w:sz w:val="20"/>
          <w:szCs w:val="20"/>
        </w:rPr>
        <w:t xml:space="preserve"> №____от</w:t>
      </w:r>
      <w:r>
        <w:rPr>
          <w:sz w:val="20"/>
        </w:rPr>
        <w:t xml:space="preserve"> договор №___от</w:t>
      </w:r>
      <w:r>
        <w:rPr>
          <w:sz w:val="20"/>
          <w:szCs w:val="20"/>
        </w:rPr>
        <w:t>___</w:t>
      </w:r>
    </w:p>
    <w:p>
      <w:pPr>
        <w:pStyle w:val="Normal"/>
        <w:shd w:val="clear" w:color="auto" w:fill="FFFFFF"/>
        <w:ind w:left="5530" w:hanging="0"/>
        <w:rPr/>
      </w:pPr>
      <w:r>
        <w:rPr/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77"/>
        <w:gridCol w:w="4976"/>
      </w:tblGrid>
      <w:tr>
        <w:trPr>
          <w:trHeight w:val="417" w:hRule="atLeast"/>
        </w:trPr>
        <w:tc>
          <w:tcPr>
            <w:tcW w:w="4377" w:type="dxa"/>
            <w:tcBorders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СОГЛАСОВАНО: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_________________(Исполнитель)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_________________Ф.И.О.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76" w:type="dxa"/>
            <w:tcBorders/>
          </w:tcPr>
          <w:p>
            <w:pPr>
              <w:pStyle w:val="Normal"/>
              <w:widowControl w:val="false"/>
              <w:ind w:left="1460" w:hang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УТВЕРЖДАЮ:</w:t>
            </w:r>
          </w:p>
          <w:p>
            <w:pPr>
              <w:pStyle w:val="Normal"/>
              <w:widowControl w:val="false"/>
              <w:ind w:left="1460" w:hanging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_________________(Заказчик)</w:t>
            </w:r>
          </w:p>
          <w:p>
            <w:pPr>
              <w:pStyle w:val="Normal"/>
              <w:widowControl w:val="false"/>
              <w:ind w:left="146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_________________Ф.И.О</w:t>
            </w:r>
          </w:p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СВОДНАЯ СМЕТА № </w:t>
        <w:br/>
        <w:t>на научно-исследовательские работы (НИР)</w:t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Наименование предприятия, здания, сооружения, стадии проектирования, этапа, вида 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НИР___________________________________________________________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Наименование организации исполнителя_________________________________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Наименование организации заказчика_________________________________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Составлена в текущих ценах, соответствующих периоду выполнения работ по договору</w:t>
      </w:r>
    </w:p>
    <w:p>
      <w:pPr>
        <w:pStyle w:val="Normal"/>
        <w:jc w:val="right"/>
        <w:rPr/>
      </w:pPr>
      <w:r>
        <w:rPr/>
        <w:t>руб.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92"/>
        <w:gridCol w:w="3743"/>
        <w:gridCol w:w="1558"/>
        <w:gridCol w:w="3560"/>
      </w:tblGrid>
      <w:tr>
        <w:trPr>
          <w:tblHeader w:val="true"/>
          <w:trHeight w:val="873" w:hRule="atLeast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п.п.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(наименование) выполняемых работ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№ смет и расчетов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работ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true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353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Сметы основного договора </w:t>
            </w:r>
          </w:p>
        </w:tc>
      </w:tr>
      <w:tr>
        <w:trPr/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сметам основного договора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353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Исключено ДС №1</w:t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исключено дополнительным соглашением № 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353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Включено ДС №1</w:t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включено дополнительным соглашением № 1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договору подряда с учетом ДС №… без НДС: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Справочно: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Сумма изменения</w:t>
              <w:br/>
              <w:t>(увеличения/уменьшения) стоимости основного договора на основании ДС № 1, без НДС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Сумма изменения</w:t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Итого по смете ___________________________________________________</w:t>
      </w:r>
    </w:p>
    <w:p>
      <w:pPr>
        <w:pStyle w:val="Normal"/>
        <w:shd w:val="clear" w:color="auto" w:fill="FFFFFF"/>
        <w:ind w:firstLine="1845"/>
        <w:jc w:val="center"/>
        <w:rPr>
          <w:sz w:val="24"/>
          <w:szCs w:val="24"/>
        </w:rPr>
      </w:pPr>
      <w:r>
        <w:rPr>
          <w:sz w:val="24"/>
          <w:szCs w:val="24"/>
        </w:rPr>
        <w:t>(сумма прописью)</w:t>
      </w:r>
    </w:p>
    <w:p>
      <w:pPr>
        <w:pStyle w:val="Normal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Составил:_________/должность, организация/___________/подпись/_____________/расшифровка подписи/</w:t>
      </w:r>
    </w:p>
    <w:p>
      <w:pPr>
        <w:pStyle w:val="Normal"/>
        <w:shd w:val="clear" w:color="auto" w:fill="FFFFFF"/>
        <w:rPr/>
      </w:pPr>
      <w:r>
        <w:rPr/>
      </w:r>
    </w:p>
    <w:p>
      <w:pPr>
        <w:sectPr>
          <w:headerReference w:type="default" r:id="rId21"/>
          <w:headerReference w:type="first" r:id="rId22"/>
          <w:footnotePr>
            <w:numFmt w:val="decimal"/>
            <w:numRestart w:val="eachPage"/>
          </w:footnotePr>
          <w:type w:val="nextPage"/>
          <w:pgSz w:w="11906" w:h="16838"/>
          <w:pgMar w:left="1701" w:right="851" w:gutter="0" w:header="709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Проверил:___________/должность, организация/_____________/подпись/___________/расшифровка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Cs/>
          <w:sz w:val="26"/>
          <w:szCs w:val="26"/>
        </w:rPr>
      </w:pPr>
      <w:r>
        <w:rPr/>
      </w:r>
    </w:p>
    <w:sectPr>
      <w:headerReference w:type="default" r:id="rId23"/>
      <w:headerReference w:type="first" r:id="rId24"/>
      <w:footnotePr>
        <w:numFmt w:val="decimal"/>
        <w:numRestart w:val="eachPage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ambria Math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>
          <w:sz w:val="20"/>
          <w:szCs w:val="20"/>
        </w:rPr>
        <w:t>На официальном сайте единой межведомственной информационно-статистической системы (ЕМИСС) https://www.fedstat.ru указанная информация представлена по показателю «Среднемесячная номинальная начисленная заработная плата работающих в экономике с 2017 г.», в графе «Классификатор видов экономической деятельности» следует выбрать «Деятельность в области архитектуры и инженерно-технического проектирования; технических испытаний, исследований и анализа»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96" w:hanging="144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63" w:hanging="21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9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5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3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1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8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10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ConsPlusNormal" w:customStyle="1">
    <w:name w:val="ConsPlusNormal Знак"/>
    <w:link w:val="ConsPlusNormal1"/>
    <w:qFormat/>
    <w:rPr>
      <w:rFonts w:ascii="Arial" w:hAnsi="Arial" w:cs="Arial"/>
    </w:rPr>
  </w:style>
  <w:style w:type="character" w:styleId="14" w:customStyle="1">
    <w:name w:val="Текст примечания Знак1"/>
    <w:qFormat/>
    <w:rPr>
      <w:rFonts w:ascii="Calibri" w:hAnsi="Calibri" w:eastAsia="Calibri"/>
      <w:lang w:eastAsia="zh-CN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5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cs="Calibri"/>
      <w:sz w:val="20"/>
      <w:szCs w:val="20"/>
    </w:rPr>
  </w:style>
  <w:style w:type="paragraph" w:styleId="Style22" w:customStyle="1">
    <w:name w:val="Раздел регламента"/>
    <w:basedOn w:val="Normal"/>
    <w:qFormat/>
    <w:pPr/>
    <w:rPr/>
  </w:style>
  <w:style w:type="paragraph" w:styleId="Style23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7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ConsPlusNonformat" w:customStyle="1">
    <w:name w:val="ConsPlusNonformat"/>
    <w:basedOn w:val="Normal"/>
    <w:qFormat/>
    <w:pPr>
      <w:suppressAutoHyphens w:val="false"/>
    </w:pPr>
    <w:rPr>
      <w:rFonts w:ascii="Courier New" w:hAnsi="Courier New" w:eastAsia="Calibri" w:cs="Courier New"/>
      <w:sz w:val="20"/>
      <w:szCs w:val="20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qFormat/>
  </w:style>
  <w:style w:type="numbering" w:styleId="29" w:customStyle="1">
    <w:name w:val="Стиль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consultantplus://offline/ref=B32CDE0E905E401B1BFF323EF993DB2C6865F0A971913444C3F7F56C5AF257E783F32977DF4E2DA4F5ACBC60359FF614F9C1315096B586250A26N" TargetMode="External"/><Relationship Id="rId5" Type="http://schemas.openxmlformats.org/officeDocument/2006/relationships/hyperlink" Target="consultantplus://offline/ref=B32CDE0E905E401B1BFF323EF993DB2C6F6DF7AA75973444C3F7F56C5AF257E783F32977DC422FF8A5E3BD3C70CDE515FFC133518A0B25N" TargetMode="External"/><Relationship Id="rId6" Type="http://schemas.openxmlformats.org/officeDocument/2006/relationships/hyperlink" Target="consultantplus://offline/ref=B32CDE0E905E401B1BFF323EF993DB2C6865F0A971913444C3F7F56C5AF257E783F32977DF4D24ACF0ACBC60359FF614F9C1315096B586250A26N" TargetMode="External"/><Relationship Id="rId7" Type="http://schemas.openxmlformats.org/officeDocument/2006/relationships/hyperlink" Target="consultantplus://offline/ref=B32CDE0E905E401B1BFF323EF993DB2C6F62F6A7789C3444C3F7F56C5AF257E783F32977DF4B25AAFDACBC60359FF614F9C1315096B586250A26N" TargetMode="External"/><Relationship Id="rId8" Type="http://schemas.openxmlformats.org/officeDocument/2006/relationships/hyperlink" Target="consultantplus://offline/ref=B32CDE0E905E401B1BFF323EF993DB2C6F6DF7AA75973444C3F7F56C5AF257E783F32974D8482DA7A0F6AC647CCBFC0BFEDE2F5388B50824N" TargetMode="Externa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package" Target="embeddings/oleObject1.xlsx"/><Relationship Id="rId16" Type="http://schemas.openxmlformats.org/officeDocument/2006/relationships/image" Target="media/image1.wmf"/><Relationship Id="rId17" Type="http://schemas.openxmlformats.org/officeDocument/2006/relationships/header" Target="header9.xml"/><Relationship Id="rId18" Type="http://schemas.openxmlformats.org/officeDocument/2006/relationships/header" Target="header10.xml"/><Relationship Id="rId19" Type="http://schemas.openxmlformats.org/officeDocument/2006/relationships/header" Target="header11.xml"/><Relationship Id="rId20" Type="http://schemas.openxmlformats.org/officeDocument/2006/relationships/header" Target="header12.xml"/><Relationship Id="rId21" Type="http://schemas.openxmlformats.org/officeDocument/2006/relationships/header" Target="header13.xml"/><Relationship Id="rId22" Type="http://schemas.openxmlformats.org/officeDocument/2006/relationships/header" Target="header14.xml"/><Relationship Id="rId23" Type="http://schemas.openxmlformats.org/officeDocument/2006/relationships/header" Target="header15.xml"/><Relationship Id="rId24" Type="http://schemas.openxmlformats.org/officeDocument/2006/relationships/header" Target="header16.xml"/><Relationship Id="rId25" Type="http://schemas.openxmlformats.org/officeDocument/2006/relationships/footnotes" Target="footnotes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<Relationship Id="rId3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43D8D-AD06-4BAC-B6AC-7982765D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AlterOffice/3.4.0.9$Linux_X86_64 LibreOffice_project/b8daf9e823b1a5463a2f48435ddc2e8696e7d4fc</Application>
  <AppVersion>15.0000</AppVersion>
  <Pages>13</Pages>
  <Words>2407</Words>
  <Characters>17505</Characters>
  <CharactersWithSpaces>17082</CharactersWithSpaces>
  <Paragraphs>319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2026-02-25T10:15:00Z</dcterms:created>
  <dc:creator>Быстров Олег Геннадьевич</dc:creator>
  <dc:description/>
  <dc:language>ru-RU</dc:language>
  <cp:lastModifiedBy>amirhanovai@corp.gidroogk.com</cp:lastModifiedBy>
  <cp:lastPrinted>2024-07-11T09:01:00Z</cp:lastPrinted>
  <dcterms:modified xsi:type="dcterms:W3CDTF">2026-05-25T17:19:34Z</dcterms:modified>
  <cp:revision>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