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i/>
          <w:i/>
          <w:iCs/>
        </w:rPr>
      </w:pPr>
      <w:r>
        <w:rPr>
          <w:rFonts w:eastAsia="Calibri"/>
          <w:i/>
          <w:iCs/>
          <w:sz w:val="24"/>
          <w:szCs w:val="24"/>
        </w:rPr>
        <w:t xml:space="preserve">«ОКПД2 45.20.11.000. Услуги по техническому обслуживанию и сопутствуещему ремонту </w:t>
      </w:r>
      <w:r>
        <w:rPr>
          <w:rFonts w:eastAsia="Calibri"/>
          <w:i/>
          <w:iCs/>
          <w:sz w:val="24"/>
          <w:szCs w:val="24"/>
        </w:rPr>
        <w:t>погрузчика</w:t>
      </w:r>
      <w:r>
        <w:rPr>
          <w:rFonts w:eastAsia="Calibri"/>
          <w:i/>
          <w:iCs/>
          <w:sz w:val="24"/>
          <w:szCs w:val="24"/>
        </w:rPr>
        <w:t xml:space="preserve"> для нужд Новосибирского участка Саяно-Шушенского филиала АО «ТК РусГидро»</w:t>
      </w:r>
      <w:r>
        <w:rPr>
          <w:rFonts w:eastAsia="Calibri"/>
          <w:i/>
          <w:iCs/>
          <w:sz w:val="24"/>
          <w:szCs w:val="24"/>
          <w:lang w:eastAsia="x-none"/>
        </w:rPr>
        <w:t>»</w:t>
      </w:r>
    </w:p>
    <w:p>
      <w:pPr>
        <w:pStyle w:val="Normal"/>
        <w:keepNext w:val="true"/>
        <w:keepLines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125462028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29">
            <w:r>
              <w:rPr>
                <w:webHidden/>
                <w:rStyle w:val="Style12"/>
                <w:iCs/>
                <w:vanish w:val="false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0">
            <w:r>
              <w:rPr>
                <w:webHidden/>
                <w:rStyle w:val="Style12"/>
                <w:iCs/>
                <w:vanish w:val="false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1">
            <w:r>
              <w:rPr>
                <w:webHidden/>
                <w:rStyle w:val="Style12"/>
                <w:iCs/>
                <w:vanish w:val="false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4">
            <w:r>
              <w:rPr>
                <w:webHidden/>
                <w:rStyle w:val="Style12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5">
            <w:r>
              <w:rPr>
                <w:webHidden/>
                <w:rStyle w:val="Style12"/>
                <w:iCs/>
                <w:vanish w:val="false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6">
            <w:r>
              <w:rPr>
                <w:webHidden/>
                <w:rStyle w:val="Style12"/>
                <w:vanish w:val="false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8">
            <w:r>
              <w:rPr>
                <w:webHidden/>
                <w:rStyle w:val="Style12"/>
                <w:vanish w:val="false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40">
            <w:r>
              <w:rPr>
                <w:webHidden/>
                <w:rStyle w:val="Style12"/>
                <w:iCs/>
                <w:vanish w:val="false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2"/>
                <w:vanish w:val="false"/>
              </w:rPr>
              <w:t>Таблица 4. 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2">
            <w:r>
              <w:rPr>
                <w:webHidden/>
                <w:rStyle w:val="Style12"/>
                <w:vanish w:val="false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Требования к документации по ценообразованию на этапе закупки</w:t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462028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25462029"/>
      <w:r>
        <w:rPr/>
        <w:t>Обозначения и сокращения</w:t>
      </w:r>
      <w:bookmarkEnd w:id="1"/>
      <w:bookmarkEnd w:id="2"/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ДВС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внутреннего сгорания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125462030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7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ОКПД2 45.20.11.000. Услуги по техническому обслуживанию и сопутствуещему ремонту </w:t>
      </w:r>
      <w:r>
        <w:rPr>
          <w:rFonts w:eastAsia="Calibri"/>
          <w:sz w:val="24"/>
          <w:szCs w:val="24"/>
          <w:lang w:eastAsia="x-none"/>
        </w:rPr>
        <w:t>погрузчика</w:t>
      </w:r>
      <w:r>
        <w:rPr>
          <w:rFonts w:eastAsia="Calibri"/>
          <w:sz w:val="24"/>
          <w:szCs w:val="24"/>
          <w:lang w:eastAsia="x-none"/>
        </w:rPr>
        <w:t xml:space="preserve"> для нужд Новосибирского участка Саяно-Шушенского филиала АО «ТК РусГидро».</w:t>
        <w:br/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rPr/>
      </w:pPr>
      <w:bookmarkStart w:id="5" w:name="_Toc125462031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7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Проведение технического обслуживания, диагностических и сопутствующих работ с соблюдением "Постановление Правительства РФ от 29.05.2025 N 780 "Об утверждении Правил оказания услуг (выполнения работ) по техническому обслуживанию и ремонту автомототранспортных средств",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7" w:name="_Toc125462032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2"/>
        <w:gridCol w:w="2268"/>
        <w:gridCol w:w="2563"/>
        <w:gridCol w:w="1276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13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7"/>
                <w:b w:val="false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Услуги по техническому обслуживанию и сопутствуещему ремонту </w:t>
            </w:r>
            <w:r>
              <w:rPr>
                <w:rFonts w:eastAsia="Calibri"/>
                <w:sz w:val="24"/>
                <w:szCs w:val="24"/>
                <w:lang w:eastAsia="x-none"/>
              </w:rPr>
              <w:t>погрузчика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для нужд Новосибирского участка Саяно-Шушенского филиала АО «ТК РусГидро»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г. Новосибирск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  <w:lang w:val="en-US"/>
              </w:rPr>
              <w:t xml:space="preserve">ПОГРУЗЧИК XGMA XG931H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2019 год выпуска,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25462034"/>
      <w:bookmarkStart w:id="10" w:name="_Toc50125126"/>
      <w:bookmarkStart w:id="11" w:name="_Hlk482097611"/>
      <w:bookmarkEnd w:id="10"/>
      <w:bookmarkEnd w:id="11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2" w:name="_Toc12546203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125462036"/>
      <w:r>
        <w:rPr>
          <w:lang w:val="ru-RU"/>
        </w:rPr>
        <w:t>Требования к перечню и объему услуг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125462037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оказываемых услуг</w:t>
      </w:r>
      <w:bookmarkEnd w:id="14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4849"/>
        <w:gridCol w:w="1993"/>
        <w:gridCol w:w="2119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 xml:space="preserve">ПОГРУЗЧИК XGMA XG931H, 2019 </w:t>
            </w:r>
            <w:r>
              <w:rPr>
                <w:iCs/>
                <w:color w:val="000000"/>
                <w:sz w:val="24"/>
                <w:szCs w:val="24"/>
                <w:shd w:fill="auto" w:val="clear"/>
              </w:rPr>
              <w:t>год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  <w:shd w:fill="auto" w:val="clear"/>
              </w:rPr>
              <w:t>вып</w:t>
            </w:r>
            <w:r>
              <w:rPr>
                <w:iCs/>
                <w:color w:val="000000"/>
                <w:sz w:val="24"/>
                <w:szCs w:val="24"/>
                <w:shd w:fill="auto" w:val="clear"/>
                <w:lang w:val="en-US"/>
              </w:rPr>
              <w:t>уска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hanging="392"/>
              <w:jc w:val="center"/>
              <w:textAlignment w:val="baseline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ТО-1</w:t>
            </w: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980</w:t>
            </w: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 xml:space="preserve"> м/ч *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14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Cs/>
                <w:i/>
                <w:color w:val="000000"/>
                <w:sz w:val="24"/>
                <w:szCs w:val="24"/>
                <w:shd w:fill="auto" w:val="clear"/>
              </w:rPr>
              <w:t>Текущий ремонт системы охлаждения, топливной аппаратуры, тормозной системы, гидравлической системы, стрелы, электрооборудования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1224" w:hanging="0"/>
        <w:rPr>
          <w:lang w:val="ru-RU"/>
        </w:rPr>
      </w:pPr>
      <w:r>
        <w:rPr/>
      </w:r>
    </w:p>
    <w:p>
      <w:pPr>
        <w:pStyle w:val="Normal"/>
        <w:rPr>
          <w:lang w:val="ru-RU"/>
        </w:rPr>
      </w:pPr>
      <w:r>
        <w:rPr/>
      </w:r>
    </w:p>
    <w:p>
      <w:pPr>
        <w:pStyle w:val="Normal"/>
        <w:rPr>
          <w:lang w:val="ru-RU"/>
        </w:rPr>
      </w:pPr>
      <w:r>
        <w:rPr/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125462039"/>
      <w:bookmarkStart w:id="17" w:name="_Toc50125127"/>
      <w:bookmarkStart w:id="18" w:name="_Toc51339697"/>
      <w:bookmarkStart w:id="19" w:name="_Toc501251261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оказания услуг</w:t>
      </w:r>
      <w:bookmarkEnd w:id="16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8"/>
        <w:gridCol w:w="2981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Услуги по техническому обслуживанию и сопутствующему ремонту </w:t>
            </w:r>
            <w:r>
              <w:rPr>
                <w:bCs/>
                <w:sz w:val="24"/>
                <w:szCs w:val="24"/>
              </w:rPr>
              <w:t>погрузчика</w:t>
            </w:r>
            <w:r>
              <w:rPr>
                <w:bCs/>
                <w:sz w:val="24"/>
                <w:szCs w:val="24"/>
              </w:rPr>
              <w:t xml:space="preserve"> для нужд Новосибирского участка Саяно-Шушенского филиала АО «ТК РусГидро»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момента заключения договора, но не ранее 01.01.202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1" w:name="_Toc46743510"/>
            <w:r>
              <w:rPr>
                <w:bCs/>
                <w:sz w:val="24"/>
                <w:szCs w:val="24"/>
              </w:rPr>
              <w:t>по 31.12.202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г.</w:t>
            </w:r>
            <w:bookmarkEnd w:id="21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759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2" w:name="_Toc51339698"/>
      <w:bookmarkStart w:id="23" w:name="_Toc125462040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>качеству услуг</w:t>
      </w:r>
      <w:bookmarkEnd w:id="2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5" w:name="_Toc12546204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2"/>
      <w:r>
        <w:rPr>
          <w:sz w:val="24"/>
          <w:szCs w:val="24"/>
          <w:lang w:val="ru-RU"/>
        </w:rPr>
        <w:t>качеству услуг</w:t>
      </w:r>
      <w:bookmarkEnd w:id="25"/>
      <w:r>
        <w:rPr>
          <w:sz w:val="24"/>
          <w:szCs w:val="24"/>
        </w:rPr>
        <w:t xml:space="preserve"> </w:t>
      </w:r>
    </w:p>
    <w:p>
      <w:pPr>
        <w:pStyle w:val="Normal"/>
        <w:rPr>
          <w:bCs/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1-31 Таблицы 2): </w:t>
      </w:r>
      <w:r>
        <w:rPr>
          <w:bCs/>
        </w:rPr>
        <w:t>ТО, Текущий ремонт подвески, Текущий ремонт ДВС.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rStyle w:val="Style7"/>
          <w:b w:val="false"/>
          <w:iCs/>
          <w:sz w:val="24"/>
          <w:szCs w:val="24"/>
        </w:rPr>
        <w:t xml:space="preserve"> </w:t>
      </w:r>
    </w:p>
    <w:tbl>
      <w:tblPr>
        <w:tblStyle w:val="affff5"/>
        <w:tblW w:w="1488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4"/>
        <w:gridCol w:w="2690"/>
        <w:gridCol w:w="2929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6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Услуги по проведению работ по техническому обслуживанию не может превышать более 1 (одних) суток и срок проведения работ по ремонту не может превышать более 30 суток с момента сдачи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погрузчика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(далее – ТС) исполнителю. При невозможности проведения работ по ТО менее 1 (одних) суток и ремонта менее 30 суток с момента сдачи специальной техники, исполнитель дополнительно согласовывает с заказчиком сроки проведения работ и предоставляет бесплатное хранение ТС на охраняемой территории на время ожидания работ и их проведения.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техническое обслуживание и ремонт должны отвечать требованиям, регламентирующим техническое состояние и оборудование специальной техники,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 (редакция от 16.07.2025 г.)).</w:t>
            </w:r>
          </w:p>
        </w:tc>
        <w:tc>
          <w:tcPr>
            <w:tcW w:w="26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ТО ТС Исполнитель обязан производить в соответствии с регламентом завода-изготовителя</w:t>
            </w:r>
          </w:p>
        </w:tc>
        <w:tc>
          <w:tcPr>
            <w:tcW w:w="26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случае сдачи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более чем на одни сутки сервисная организация оформляет приемо-сдаточный акт по форме, предусмотренной организацией Заказчика, который подписывают представители обеих сторон. В исключительных случаях осмотр автотранспорта может осуществляться на территории Заказчика.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 xml:space="preserve">При проведении работ по ТО и/или текущему ремонту преимущественно применение оригинальных запасных частей и расходных материалов, рекомендованных заводом-изготовителем. Услуги оказываются в полном объеме согласно регламенту и требованиям завода-изготовителя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cs="Times New Roman"/>
                <w:bCs/>
                <w:kern w:val="0"/>
                <w:lang w:val="ru-RU" w:eastAsia="ru-RU" w:bidi="ar-SA"/>
              </w:rPr>
              <w:t>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28" w:hanging="0"/>
              <w:contextualSpacing/>
              <w:jc w:val="both"/>
              <w:rPr>
                <w:b/>
                <w:lang w:eastAsia="x-none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Запасные части, детали и расходные материалы, установленные на ТС в ходе оказания услуг и на которые в установленном порядке Заказчиком оформлена рекламация (претензия к качеству, функционированию), подлежат обязательной замене за счет средств Исполнителя в течение 5 (пяти) рабочих дней.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1.4.3.</w:t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случае если в ходе проведения технических воздействий выявлена, необходимость замены как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ой-либо детали, узла или агрегата стоимость, которой или стоимость работы по замене которой превышает 5000 (Пять тысяч) рублей без НДС, Исполнитель обязан провести дополнит</w:t>
            </w:r>
            <w:r>
              <w:rPr>
                <w:rFonts w:cs="Times New Roman"/>
                <w:kern w:val="0"/>
                <w:lang w:val="ru-RU" w:eastAsia="ru-RU" w:bidi="ar-SA"/>
              </w:rPr>
              <w:t>ельное согласование с Заказчиком о необходимости и порядке выполнения данной работы.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10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1.4.4.</w:t>
            </w:r>
          </w:p>
        </w:tc>
        <w:tc>
          <w:tcPr>
            <w:tcW w:w="567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ind w:left="37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 требованию Заказчика Исполнитель обязан предоставить сертификат качества на замененные в процессе ремонта запасные части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 требованию заказчика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57" w:firstLine="113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ind w:left="37" w:hanging="142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1.4.5.</w:t>
            </w:r>
          </w:p>
        </w:tc>
        <w:tc>
          <w:tcPr>
            <w:tcW w:w="5671" w:type="dxa"/>
            <w:gridSpan w:val="2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Все расходные материалы, замененные в процессе проведения технического обслуживания и ремонта специальной техники Заказчика, переходят в собственность Исполнителя, и утилизируются его силами.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ТС прошедшие ТО и ремонт должны отвечать требованиям, регламентирующим техническое состояние и оборудование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 (редакция от 16.07.2025 г.)).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Допуск представителей для контроля процесса.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по требованию Заказчика допускать его представителей для контроля процесса выполнения технологических и ремонтных операций, качества и полноты оказания услуг и в целом выполнения договорных обязательств непосредственно к местам производства работ.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Передача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после выполнения оказанных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После выполнения оказанных услуг Исполнитель информирует Заказчика о готовности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специальной техники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 и передает его по приемо-сдаточному акту. Исполнитель предоставляет Заказчику бесплатное хранение ТС на охраняемой территории на время ожидания работ и их проведения в течение 30 суток.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2267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Трудоемкость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Трудоемкость услуг соответствует нормативной документации завода-изготовителя.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4.1.1.</w:t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ListParagraph"/>
              <w:keepNext w:val="true"/>
              <w:widowControl w:val="false"/>
              <w:suppressAutoHyphens w:val="true"/>
              <w:spacing w:before="60" w:after="60"/>
              <w:ind w:left="0" w:hanging="0"/>
              <w:contextualSpacing w:val="false"/>
              <w:jc w:val="left"/>
              <w:rPr>
                <w:rFonts w:eastAsia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текущему ремонту не менее 12 месяцев при условии эксплуатации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согласно руководству по эксплуатации.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4.1.2.</w:t>
            </w:r>
          </w:p>
        </w:tc>
        <w:tc>
          <w:tcPr>
            <w:tcW w:w="567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на проведенные работы по ТО транспортных средств должна составлять не менее 6 месяцев или 250 м/ч, что наступит ранее.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Участник должен иметь не менее одной собственной (либо в аренде) производственной базы для проведения ТО и ремонта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специальной техники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Договор аренды или свидетельство о праве собственности</w:t>
            </w:r>
          </w:p>
        </w:tc>
        <w:tc>
          <w:tcPr>
            <w:tcW w:w="2743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381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numPr>
          <w:ilvl w:val="0"/>
          <w:numId w:val="0"/>
        </w:numPr>
        <w:spacing w:before="0" w:after="120"/>
        <w:ind w:left="1077" w:hanging="0"/>
        <w:jc w:val="both"/>
        <w:rPr>
          <w:b/>
          <w:bCs/>
          <w:i/>
          <w:i/>
          <w:iCs/>
          <w:sz w:val="24"/>
          <w:szCs w:val="24"/>
          <w:lang w:val="x-none" w:eastAsia="x-none"/>
        </w:rPr>
      </w:pPr>
      <w:r>
        <w:rPr>
          <w:b/>
          <w:bCs/>
          <w:sz w:val="24"/>
          <w:szCs w:val="24"/>
          <w:lang w:eastAsia="x-none"/>
        </w:rPr>
        <w:t>6.</w:t>
        <w:tab/>
      </w:r>
      <w:r>
        <w:rPr>
          <w:b/>
          <w:b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>
      <w:pPr>
        <w:pStyle w:val="BodyText"/>
        <w:numPr>
          <w:ilvl w:val="0"/>
          <w:numId w:val="0"/>
        </w:numPr>
        <w:spacing w:before="0" w:after="0"/>
        <w:ind w:left="360" w:right="0" w:hanging="0"/>
        <w:jc w:val="both"/>
        <w:rPr>
          <w:rFonts w:eastAsia="Calibri"/>
          <w:b/>
          <w:bCs/>
          <w:i/>
          <w:i/>
          <w:iCs/>
          <w:sz w:val="24"/>
          <w:szCs w:val="24"/>
          <w:shd w:fill="FFFF99" w:val="clear"/>
        </w:rPr>
      </w:pPr>
      <w:r>
        <w:rPr>
          <w:i w:val="false"/>
          <w:iCs w:val="false"/>
          <w:caps w:val="false"/>
          <w:smallCaps w:val="false"/>
          <w:sz w:val="24"/>
          <w:szCs w:val="24"/>
          <w:shd w:fill="FFFFFF" w:val="clear"/>
        </w:rPr>
        <w:t>3.1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>
      <w:pPr>
        <w:pStyle w:val="BodyText"/>
        <w:numPr>
          <w:ilvl w:val="0"/>
          <w:numId w:val="0"/>
        </w:numPr>
        <w:spacing w:before="0" w:after="0"/>
        <w:ind w:left="360" w:right="0" w:hanging="0"/>
        <w:jc w:val="both"/>
        <w:rPr>
          <w:rFonts w:eastAsia="Calibri"/>
          <w:b/>
          <w:bCs/>
          <w:i/>
          <w:i/>
          <w:iCs/>
          <w:sz w:val="24"/>
          <w:szCs w:val="24"/>
          <w:shd w:fill="FFFF99" w:val="clear"/>
        </w:rPr>
      </w:pPr>
      <w:r>
        <w:rPr>
          <w:bCs/>
          <w:i w:val="false"/>
          <w:iCs w:val="false"/>
          <w:caps w:val="false"/>
          <w:smallCaps w:val="false"/>
          <w:color w:val="000000"/>
          <w:sz w:val="24"/>
          <w:szCs w:val="24"/>
          <w:shd w:fill="FFFFFF" w:val="clear"/>
          <w:lang w:eastAsia="x-none"/>
        </w:rPr>
        <w:t>3.2.  Дополнительные документы по ценообразованию (сметная документация) в состав заявки Участника не включаются».</w:t>
      </w:r>
    </w:p>
    <w:p>
      <w:pPr>
        <w:pStyle w:val="Normal"/>
        <w:ind w:left="432" w:hanging="0"/>
        <w:jc w:val="both"/>
        <w:rPr/>
      </w:pPr>
      <w:r>
        <w:rPr/>
      </w:r>
    </w:p>
    <w:p>
      <w:pPr>
        <w:pStyle w:val="Heading1"/>
        <w:keepLines/>
        <w:ind w:left="0" w:hanging="0"/>
        <w:jc w:val="center"/>
        <w:rPr>
          <w:i/>
          <w:i/>
        </w:rPr>
      </w:pPr>
      <w:r>
        <w:rPr>
          <w:i/>
        </w:rPr>
      </w:r>
    </w:p>
    <w:p>
      <w:pPr>
        <w:pStyle w:val="NoSpacing"/>
        <w:jc w:val="both"/>
        <w:rPr/>
      </w:pPr>
      <w:r>
        <w:rPr/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bookmarkStart w:id="27" w:name="_GoBack"/>
      <w:bookmarkStart w:id="28" w:name="_GoBack"/>
      <w:bookmarkEnd w:id="28"/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>*-в соответствии с регламентом завода-изготовителя.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szCs w:val="18"/>
      </w:rPr>
    </w:pPr>
    <w:r>
      <w:rPr>
        <w:sz w:val="18"/>
        <w:szCs w:val="18"/>
      </w:rPr>
      <w:t>Примечание*: Данное требование устанавливается для оценки Участника по оценочному критерию «Квалификация (предпочтительности) участника». Не исполнение данного требования не является основанием для отклонения заявок Участников.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0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2123-14D5-43E4-904D-E7D27DE0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AlterOffice/3.4.0.9$Linux_X86_64 LibreOffice_project/b8daf9e823b1a5463a2f48435ddc2e8696e7d4fc</Application>
  <AppVersion>15.0000</AppVersion>
  <Pages>11</Pages>
  <Words>1274</Words>
  <Characters>8444</Characters>
  <CharactersWithSpaces>9497</CharactersWithSpaces>
  <Paragraphs>225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2023-10-31T10:07:00Z</dcterms:created>
  <dc:creator>Быстров Олег Геннадьевич</dc:creator>
  <dc:description/>
  <dc:language>ru-RU</dc:language>
  <cp:lastModifiedBy>kondrashkinoa@corp.gidroogk.com</cp:lastModifiedBy>
  <cp:lastPrinted>2023-10-11T15:34:00Z</cp:lastPrinted>
  <dcterms:modified xsi:type="dcterms:W3CDTF">2026-05-25T16:21:49Z</dcterms:modified>
  <cp:revision>18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