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 на поставку программного обеспечения</w:t>
      </w:r>
    </w:p>
    <w:p>
      <w:pPr>
        <w:pStyle w:val="Normal"/>
        <w:widowControl w:val="fals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«ОКПД2 58.29.50.000 Поставка программного обеспечения и обновлений баз данных «ГрандСмета» для нужд филиала ПАО «РусГидро»-«Дагестанский филиал»</w:t>
      </w:r>
    </w:p>
    <w:p>
      <w:pPr>
        <w:pStyle w:val="Normal"/>
        <w:widowControl w:val="fals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p>
      <w:pPr>
        <w:pStyle w:val="Normal"/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lineRule="auto" w:line="360" w:before="0" w:after="0"/>
            <w:rPr>
              <w:rFonts w:eastAsia="Arial" w:cs="Times New Roman" w:eastAsiaTheme="minorEastAsia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6"/>
              <w:rFonts w:cs="Times New Roman"/>
            </w:rPr>
            <w:instrText xml:space="preserve"> TOC \z \o "1-4" \u \h</w:instrText>
          </w:r>
          <w:r>
            <w:rPr>
              <w:webHidden/>
              <w:rStyle w:val="Style16"/>
              <w:rFonts w:cs="Times New Roman"/>
            </w:rPr>
            <w:fldChar w:fldCharType="separate"/>
          </w:r>
          <w:hyperlink w:anchor="_Toc230595287">
            <w:r>
              <w:rPr>
                <w:webHidden/>
                <w:rStyle w:val="Style16"/>
                <w:rFonts w:cs="Times New Roman"/>
              </w:rPr>
              <w:t>1.</w:t>
            </w:r>
            <w:r>
              <w:rPr>
                <w:rStyle w:val="Style16"/>
                <w:rFonts w:eastAsia="Arial" w:cs="Times New Roman" w:eastAsiaTheme="minorEastAsia"/>
                <w:b w:val="false"/>
                <w:bCs w:val="false"/>
              </w:rPr>
              <w:tab/>
            </w:r>
            <w:r>
              <w:rPr>
                <w:rStyle w:val="Style16"/>
                <w:rFonts w:cs="Times New Roman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_Toc230595287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rFonts w:cs="Times New Roman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lineRule="auto" w:line="360" w:before="0" w:after="0"/>
            <w:jc w:val="both"/>
            <w:rPr>
              <w:rFonts w:eastAsia="Arial" w:cs="Times New Roman" w:eastAsiaTheme="minorEastAsia"/>
              <w:bCs w:val="false"/>
              <w:sz w:val="24"/>
              <w:szCs w:val="24"/>
            </w:rPr>
          </w:pPr>
          <w:hyperlink w:anchor="_Toc230595288">
            <w:r>
              <w:rPr>
                <w:webHidden/>
                <w:rStyle w:val="Style16"/>
                <w:rFonts w:cs="Times New Roman"/>
                <w:iCs/>
                <w:sz w:val="24"/>
                <w:szCs w:val="24"/>
              </w:rPr>
              <w:t>1.1.</w:t>
            </w:r>
            <w:r>
              <w:rPr>
                <w:rStyle w:val="Style16"/>
                <w:rFonts w:eastAsia="Arial" w:cs="Times New Roman" w:eastAsiaTheme="minorEastAsia"/>
                <w:bCs w:val="false"/>
                <w:sz w:val="24"/>
                <w:szCs w:val="24"/>
              </w:rPr>
              <w:tab/>
            </w:r>
            <w:r>
              <w:rPr>
                <w:rStyle w:val="Style16"/>
                <w:rFonts w:cs="Times New Roman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_Toc230595288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lineRule="auto" w:line="360" w:before="0" w:after="0"/>
            <w:jc w:val="both"/>
            <w:rPr>
              <w:rFonts w:eastAsia="Arial" w:cs="Times New Roman" w:eastAsiaTheme="minorEastAsia"/>
              <w:bCs w:val="false"/>
              <w:sz w:val="24"/>
              <w:szCs w:val="24"/>
            </w:rPr>
          </w:pPr>
          <w:hyperlink w:anchor="_Toc230595289">
            <w:r>
              <w:rPr>
                <w:webHidden/>
                <w:rStyle w:val="Style16"/>
                <w:rFonts w:cs="Times New Roman"/>
                <w:iCs/>
                <w:sz w:val="24"/>
                <w:szCs w:val="24"/>
              </w:rPr>
              <w:t>1.2.</w:t>
            </w:r>
            <w:r>
              <w:rPr>
                <w:rStyle w:val="Style16"/>
                <w:rFonts w:eastAsia="Arial" w:cs="Times New Roman" w:eastAsiaTheme="minorEastAsia"/>
                <w:bCs w:val="false"/>
                <w:sz w:val="24"/>
                <w:szCs w:val="24"/>
              </w:rPr>
              <w:tab/>
            </w:r>
            <w:r>
              <w:rPr>
                <w:rStyle w:val="Style16"/>
                <w:rFonts w:cs="Times New Roman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_Toc230595289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lineRule="auto" w:line="360" w:before="0" w:after="0"/>
            <w:jc w:val="both"/>
            <w:rPr>
              <w:rFonts w:eastAsia="Arial" w:cs="Times New Roman" w:eastAsiaTheme="minorEastAsia"/>
              <w:bCs w:val="false"/>
              <w:sz w:val="24"/>
              <w:szCs w:val="24"/>
            </w:rPr>
          </w:pPr>
          <w:hyperlink w:anchor="_Toc230595290">
            <w:r>
              <w:rPr>
                <w:webHidden/>
                <w:rStyle w:val="Style16"/>
                <w:rFonts w:cs="Times New Roman"/>
                <w:iCs/>
                <w:sz w:val="24"/>
                <w:szCs w:val="24"/>
              </w:rPr>
              <w:t>1.3.</w:t>
            </w:r>
            <w:r>
              <w:rPr>
                <w:rStyle w:val="Style16"/>
                <w:rFonts w:eastAsia="Arial" w:cs="Times New Roman" w:eastAsiaTheme="minorEastAsia"/>
                <w:bCs w:val="false"/>
                <w:sz w:val="24"/>
                <w:szCs w:val="24"/>
              </w:rPr>
              <w:tab/>
            </w:r>
            <w:r>
              <w:rPr>
                <w:rStyle w:val="Style16"/>
                <w:rFonts w:cs="Times New Roman"/>
                <w:sz w:val="24"/>
                <w:szCs w:val="24"/>
              </w:rPr>
              <w:t>Цель использования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_Toc230595290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lineRule="auto" w:line="360" w:before="0" w:after="0"/>
            <w:rPr>
              <w:rFonts w:eastAsia="Arial" w:cs="Times New Roman" w:eastAsiaTheme="minorEastAsia"/>
              <w:b w:val="false"/>
              <w:bCs w:val="false"/>
            </w:rPr>
          </w:pPr>
          <w:hyperlink w:anchor="_Toc230595291">
            <w:r>
              <w:rPr>
                <w:webHidden/>
                <w:rStyle w:val="Style16"/>
                <w:rFonts w:cs="Times New Roman"/>
              </w:rPr>
              <w:t>2.</w:t>
            </w:r>
            <w:r>
              <w:rPr>
                <w:rStyle w:val="Style16"/>
                <w:rFonts w:eastAsia="Arial" w:cs="Times New Roman" w:eastAsiaTheme="minorEastAsia"/>
                <w:b w:val="false"/>
                <w:bCs w:val="false"/>
              </w:rPr>
              <w:tab/>
            </w:r>
            <w:r>
              <w:rPr>
                <w:rStyle w:val="Style16"/>
                <w:rFonts w:cs="Times New Roman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_Toc230595291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rFonts w:cs="Times New Roman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lineRule="auto" w:line="360" w:before="0" w:after="0"/>
            <w:rPr>
              <w:rFonts w:eastAsia="Arial" w:cs="Times New Roman" w:eastAsiaTheme="minorEastAsia"/>
              <w:bCs w:val="false"/>
              <w:sz w:val="24"/>
              <w:szCs w:val="24"/>
            </w:rPr>
          </w:pPr>
          <w:hyperlink w:anchor="_Toc230595292">
            <w:r>
              <w:rPr>
                <w:webHidden/>
                <w:rStyle w:val="Style16"/>
                <w:rFonts w:cs="Times New Roman"/>
                <w:iCs/>
                <w:sz w:val="24"/>
                <w:szCs w:val="24"/>
              </w:rPr>
              <w:t>2.1.</w:t>
            </w:r>
            <w:r>
              <w:rPr>
                <w:rStyle w:val="Style16"/>
                <w:rFonts w:eastAsia="Arial" w:cs="Times New Roman" w:eastAsiaTheme="minorEastAsia"/>
                <w:bCs w:val="false"/>
                <w:sz w:val="24"/>
                <w:szCs w:val="24"/>
              </w:rPr>
              <w:tab/>
            </w:r>
            <w:r>
              <w:rPr>
                <w:rStyle w:val="Style16"/>
                <w:rFonts w:cs="Times New Roman"/>
                <w:sz w:val="24"/>
                <w:szCs w:val="24"/>
              </w:rPr>
              <w:t>Требования к объемам и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_Toc230595292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567" w:leader="none"/>
              <w:tab w:val="right" w:pos="9911" w:leader="dot"/>
            </w:tabs>
            <w:spacing w:lineRule="auto" w:line="360"/>
            <w:ind w:left="0" w:hanging="0"/>
            <w:rPr>
              <w:rFonts w:eastAsia="Arial" w:cs="Times New Roman" w:eastAsiaTheme="minorEastAsia"/>
              <w:sz w:val="24"/>
              <w:szCs w:val="24"/>
            </w:rPr>
          </w:pPr>
          <w:hyperlink w:anchor="_Toc230595293">
            <w:r>
              <w:rPr>
                <w:webHidden/>
                <w:rStyle w:val="Style16"/>
                <w:rFonts w:cs="Times New Roman"/>
                <w:sz w:val="24"/>
                <w:szCs w:val="24"/>
              </w:rPr>
              <w:t>2.1.1.</w:t>
            </w:r>
            <w:r>
              <w:rPr>
                <w:rStyle w:val="Style16"/>
                <w:rFonts w:eastAsia="Arial" w:cs="Times New Roman" w:eastAsiaTheme="minorEastAsia"/>
                <w:sz w:val="24"/>
                <w:szCs w:val="24"/>
              </w:rPr>
              <w:tab/>
            </w:r>
            <w:r>
              <w:rPr>
                <w:rStyle w:val="Style16"/>
                <w:rFonts w:cs="Times New Roman"/>
                <w:sz w:val="24"/>
                <w:szCs w:val="24"/>
              </w:rPr>
              <w:t>Требования к перечню и объему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_Toc230595293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567" w:leader="none"/>
              <w:tab w:val="right" w:pos="9911" w:leader="dot"/>
            </w:tabs>
            <w:spacing w:lineRule="auto" w:line="360"/>
            <w:ind w:left="0" w:hanging="0"/>
            <w:rPr>
              <w:rFonts w:eastAsia="Arial" w:cs="Times New Roman" w:eastAsiaTheme="minorEastAsia"/>
              <w:sz w:val="24"/>
              <w:szCs w:val="24"/>
            </w:rPr>
          </w:pPr>
          <w:hyperlink w:anchor="_Toc230595294">
            <w:r>
              <w:rPr>
                <w:webHidden/>
                <w:rStyle w:val="Style16"/>
                <w:rFonts w:cs="Times New Roman"/>
                <w:sz w:val="24"/>
                <w:szCs w:val="24"/>
              </w:rPr>
              <w:t>2.1.2.</w:t>
            </w:r>
            <w:r>
              <w:rPr>
                <w:rStyle w:val="Style16"/>
                <w:rFonts w:eastAsia="Arial" w:cs="Times New Roman" w:eastAsiaTheme="minorEastAsia"/>
                <w:sz w:val="24"/>
                <w:szCs w:val="24"/>
              </w:rPr>
              <w:tab/>
            </w:r>
            <w:r>
              <w:rPr>
                <w:rStyle w:val="Style16"/>
                <w:rFonts w:cs="Times New Roman"/>
                <w:sz w:val="24"/>
                <w:szCs w:val="24"/>
              </w:rPr>
              <w:t>Требования к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_Toc230595294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lineRule="auto" w:line="360" w:before="0" w:after="0"/>
            <w:rPr>
              <w:rFonts w:eastAsia="Arial" w:cs="Times New Roman" w:eastAsiaTheme="minorEastAsia"/>
              <w:bCs w:val="false"/>
              <w:sz w:val="24"/>
              <w:szCs w:val="24"/>
            </w:rPr>
          </w:pPr>
          <w:hyperlink w:anchor="_Toc230595295">
            <w:r>
              <w:rPr>
                <w:webHidden/>
                <w:rStyle w:val="Style16"/>
                <w:rFonts w:cs="Times New Roman"/>
                <w:iCs/>
                <w:sz w:val="24"/>
                <w:szCs w:val="24"/>
              </w:rPr>
              <w:t>2.2.</w:t>
            </w:r>
            <w:r>
              <w:rPr>
                <w:rStyle w:val="Style16"/>
                <w:rFonts w:eastAsia="Arial" w:cs="Times New Roman" w:eastAsiaTheme="minorEastAsia"/>
                <w:bCs w:val="false"/>
                <w:sz w:val="24"/>
                <w:szCs w:val="24"/>
              </w:rPr>
              <w:tab/>
            </w:r>
            <w:r>
              <w:rPr>
                <w:rStyle w:val="Style16"/>
                <w:rFonts w:cs="Times New Roman"/>
                <w:sz w:val="24"/>
                <w:szCs w:val="2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_Toc230595295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lineRule="auto" w:line="360" w:before="0" w:after="0"/>
            <w:rPr>
              <w:rFonts w:eastAsia="Arial" w:cs="Times New Roman" w:eastAsiaTheme="minorEastAsia"/>
              <w:b w:val="false"/>
              <w:bCs w:val="false"/>
            </w:rPr>
          </w:pPr>
          <w:hyperlink w:anchor="_Toc230595296">
            <w:r>
              <w:rPr>
                <w:webHidden/>
                <w:rStyle w:val="Style16"/>
                <w:rFonts w:cs="Times New Roman"/>
              </w:rPr>
              <w:t>3.</w:t>
            </w:r>
            <w:r>
              <w:rPr>
                <w:rStyle w:val="Style16"/>
                <w:rFonts w:eastAsia="Arial" w:cs="Times New Roman" w:eastAsiaTheme="minorEastAsia"/>
                <w:b w:val="false"/>
                <w:bCs w:val="false"/>
              </w:rPr>
              <w:tab/>
            </w:r>
            <w:r>
              <w:rPr>
                <w:rStyle w:val="Style16"/>
                <w:rFonts w:cs="Times New Roman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_Toc230595296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rFonts w:cs="Times New Roman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lineRule="auto" w:line="360" w:before="0" w:after="0"/>
            <w:rPr>
              <w:rFonts w:eastAsia="Arial" w:cs="Times New Roman" w:eastAsiaTheme="minorEastAsia"/>
              <w:b w:val="false"/>
              <w:bCs w:val="false"/>
            </w:rPr>
          </w:pPr>
          <w:hyperlink w:anchor="_Toc230595297">
            <w:r>
              <w:rPr>
                <w:webHidden/>
                <w:rStyle w:val="Style16"/>
                <w:rFonts w:cs="Times New Roman"/>
              </w:rPr>
              <w:t>4.</w:t>
            </w:r>
            <w:r>
              <w:rPr>
                <w:rStyle w:val="Style16"/>
                <w:rFonts w:eastAsia="Arial" w:cs="Times New Roman" w:eastAsiaTheme="minorEastAsia"/>
                <w:b w:val="false"/>
                <w:bCs w:val="false"/>
              </w:rPr>
              <w:tab/>
            </w:r>
            <w:r>
              <w:rPr>
                <w:rStyle w:val="Style16"/>
                <w:rFonts w:cs="Times New Roman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_Toc230595297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rFonts w:cs="Times New Roman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6"/>
              <w:vanish w:val="false"/>
              <w:rFonts w:cs="Times New Roman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spacing w:lineRule="auto" w:line="360" w:before="0" w:after="0"/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0"/>
        <w:ind w:left="0" w:hanging="357"/>
        <w:jc w:val="center"/>
        <w:rPr>
          <w:sz w:val="24"/>
          <w:szCs w:val="24"/>
        </w:rPr>
      </w:pPr>
      <w:bookmarkStart w:id="0" w:name="_Toc230595287"/>
      <w:r>
        <w:rPr>
          <w:sz w:val="24"/>
          <w:szCs w:val="24"/>
        </w:rPr>
        <w:t>Общие сведения</w:t>
      </w:r>
      <w:bookmarkEnd w:id="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3"/>
        </w:numPr>
        <w:ind w:left="284" w:hanging="0"/>
        <w:rPr/>
      </w:pPr>
      <w:bookmarkStart w:id="1" w:name="_Toc46743505"/>
      <w:bookmarkStart w:id="2" w:name="_Toc230595288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10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10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10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Программное обеспечение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ЭВМ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Программа для электронной вычислительной машины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База данных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3"/>
        </w:numPr>
        <w:ind w:left="284" w:hanging="0"/>
        <w:rPr/>
      </w:pPr>
      <w:bookmarkStart w:id="3" w:name="_Toc230595289"/>
      <w:r>
        <w:rPr/>
        <w:t>Наименование закупаемой продукции</w:t>
      </w:r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10"/>
          <w:b w:val="false"/>
          <w:i w:val="false"/>
          <w:i w:val="false"/>
          <w:sz w:val="24"/>
          <w:szCs w:val="24"/>
        </w:rPr>
      </w:pPr>
      <w:bookmarkStart w:id="4" w:name="_Toc46743507"/>
      <w:r>
        <w:rPr>
          <w:sz w:val="24"/>
          <w:szCs w:val="24"/>
        </w:rPr>
        <w:t>«ОКПД2 58.29.50.000 Поставка программного обеспечения и обновлений баз данных «ГрандСмета» для нужд филиала ПАО «РусГидро»-«Дагестанский филиал»</w:t>
      </w:r>
    </w:p>
    <w:p>
      <w:pPr>
        <w:pStyle w:val="Heading2"/>
        <w:numPr>
          <w:ilvl w:val="1"/>
          <w:numId w:val="3"/>
        </w:numPr>
        <w:rPr/>
      </w:pPr>
      <w:bookmarkStart w:id="5" w:name="_Toc46743507"/>
      <w:bookmarkStart w:id="6" w:name="_Toc230595290"/>
      <w:r>
        <w:rPr/>
        <w:t xml:space="preserve">Цель </w:t>
      </w:r>
      <w:bookmarkEnd w:id="5"/>
      <w:r>
        <w:rPr/>
        <w:t>использования продукции</w:t>
      </w:r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bookmarkStart w:id="7" w:name="_Toc46743508"/>
      <w:r>
        <w:rPr>
          <w:sz w:val="24"/>
          <w:szCs w:val="24"/>
        </w:rPr>
        <w:t>Приобретение прав использования программы для ЭВМ и базы данных «Гранд-Смета» для использования ПО в операционной деятельности.</w:t>
      </w:r>
      <w:bookmarkStart w:id="8" w:name="_Toc46743510"/>
      <w:bookmarkStart w:id="9" w:name="_Toc50125126"/>
      <w:bookmarkStart w:id="10" w:name="_Toc51339693"/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spacing w:before="0" w:after="0"/>
        <w:ind w:left="0" w:hanging="357"/>
        <w:jc w:val="center"/>
        <w:rPr>
          <w:iCs/>
          <w:sz w:val="24"/>
          <w:szCs w:val="24"/>
        </w:rPr>
      </w:pPr>
      <w:bookmarkStart w:id="11" w:name="_Toc230595291"/>
      <w:r>
        <w:rPr>
          <w:iCs/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3"/>
        </w:numPr>
        <w:ind w:left="284" w:hanging="0"/>
        <w:rPr/>
      </w:pPr>
      <w:bookmarkStart w:id="12" w:name="_Toc230595292"/>
      <w:r>
        <w:rPr/>
        <w:t>Требования к объемам и срокам поставки продукции</w:t>
      </w:r>
      <w:bookmarkEnd w:id="12"/>
    </w:p>
    <w:p>
      <w:pPr>
        <w:pStyle w:val="Heading3"/>
        <w:numPr>
          <w:ilvl w:val="2"/>
          <w:numId w:val="3"/>
        </w:numPr>
        <w:rPr/>
      </w:pPr>
      <w:bookmarkStart w:id="13" w:name="_Toc230595293"/>
      <w:r>
        <w:rPr/>
        <w:t>Требования к перечню и объему поставки продукции</w:t>
      </w:r>
      <w:bookmarkEnd w:id="13"/>
    </w:p>
    <w:p>
      <w:pPr>
        <w:pStyle w:val="Normal"/>
        <w:ind w:firstLine="567"/>
        <w:rPr>
          <w:b/>
          <w:sz w:val="24"/>
          <w:szCs w:val="24"/>
        </w:rPr>
      </w:pPr>
      <w:bookmarkStart w:id="14" w:name="_Toc51339695"/>
      <w:r>
        <w:rPr>
          <w:b/>
          <w:sz w:val="24"/>
          <w:szCs w:val="24"/>
        </w:rPr>
        <w:t xml:space="preserve">Таблица 2. Перечень </w:t>
      </w:r>
      <w:bookmarkEnd w:id="14"/>
      <w:r>
        <w:rPr>
          <w:b/>
          <w:sz w:val="24"/>
          <w:szCs w:val="24"/>
        </w:rPr>
        <w:t>и объем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05" w:type="dxa"/>
        <w:jc w:val="left"/>
        <w:tblInd w:w="71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4a0" w:noHBand="0" w:noVBand="1" w:firstColumn="1" w:lastRow="0" w:lastColumn="0" w:firstRow="1"/>
      </w:tblPr>
      <w:tblGrid>
        <w:gridCol w:w="491"/>
        <w:gridCol w:w="7512"/>
        <w:gridCol w:w="710"/>
        <w:gridCol w:w="991"/>
      </w:tblGrid>
      <w:tr>
        <w:trPr>
          <w:trHeight w:val="557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на использование новых версий программы для ЭВМ «ГРАНД-Смета» в течение года с момента заключения договора, выпущенных в течение года, Запись в Реестре Российского ПО №11163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на использование новых версий БД «ФСНБ-2022 в формате программы для ЭВМ «ГРАНД-Смета» выпущенных в течение года, Запись в Реестре Российского ПО №16408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на использование новых версий БД «Справочники базовых цен на проектные работы для строительства в формате программы для ЭВМ «Программный комплекс «ГРАНД-Смета», выпущенных в течение года (поставщик информации: ОАО "ЦЕНТРИНВЕСТпроект"),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Запись в Реестре Российского ПО №20152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15" w:name="_Toc230595294"/>
      <w:bookmarkStart w:id="16" w:name="_Toc51339696"/>
      <w:r>
        <w:rPr/>
        <w:t xml:space="preserve">Требования </w:t>
      </w:r>
      <w:bookmarkEnd w:id="16"/>
      <w:r>
        <w:rPr/>
        <w:t>к срокам поставки продукции</w:t>
      </w:r>
      <w:bookmarkEnd w:id="15"/>
    </w:p>
    <w:p>
      <w:pPr>
        <w:pStyle w:val="Normal"/>
        <w:ind w:firstLine="1418"/>
        <w:rPr>
          <w:b/>
          <w:sz w:val="24"/>
          <w:szCs w:val="24"/>
        </w:rPr>
      </w:pPr>
      <w:bookmarkStart w:id="17" w:name="_Toc51339697"/>
      <w:bookmarkStart w:id="18" w:name="_Toc50125127"/>
      <w:bookmarkEnd w:id="9"/>
      <w:r>
        <w:rPr>
          <w:b/>
          <w:sz w:val="24"/>
          <w:szCs w:val="24"/>
        </w:rPr>
        <w:t xml:space="preserve">Таблица 3. </w:t>
      </w:r>
      <w:bookmarkStart w:id="19" w:name="_Hlk50465284"/>
      <w:r>
        <w:rPr>
          <w:b/>
          <w:sz w:val="24"/>
          <w:szCs w:val="24"/>
        </w:rPr>
        <w:t xml:space="preserve">Требования к срокам </w:t>
      </w:r>
      <w:bookmarkEnd w:id="17"/>
      <w:bookmarkEnd w:id="18"/>
      <w:bookmarkEnd w:id="19"/>
      <w:r>
        <w:rPr>
          <w:b/>
          <w:sz w:val="24"/>
          <w:szCs w:val="24"/>
        </w:rPr>
        <w:t>поставки продукции</w:t>
      </w:r>
    </w:p>
    <w:p>
      <w:pPr>
        <w:pStyle w:val="Normal"/>
        <w:ind w:firstLine="1418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781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3261"/>
        <w:gridCol w:w="2551"/>
        <w:gridCol w:w="3406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22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2 позиции с 1 по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течение 30 (тридцати) календарных дней с даты начала поставки</w:t>
            </w:r>
            <w:bookmarkEnd w:id="8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Heading2"/>
        <w:numPr>
          <w:ilvl w:val="1"/>
          <w:numId w:val="3"/>
        </w:numPr>
        <w:ind w:left="284" w:hanging="0"/>
        <w:rPr/>
      </w:pPr>
      <w:bookmarkStart w:id="20" w:name="_Toc51339698"/>
      <w:bookmarkStart w:id="21" w:name="_Toc230595295"/>
      <w:bookmarkStart w:id="22" w:name="_Toc46743511"/>
      <w:r>
        <w:rPr/>
        <w:t xml:space="preserve">Требования к </w:t>
      </w:r>
      <w:bookmarkEnd w:id="22"/>
      <w:r>
        <w:rPr/>
        <w:t>качеству продукции</w:t>
      </w:r>
      <w:bookmarkEnd w:id="21"/>
    </w:p>
    <w:p>
      <w:pPr>
        <w:pStyle w:val="Normal"/>
        <w:jc w:val="center"/>
        <w:rPr>
          <w:b/>
          <w:sz w:val="24"/>
          <w:szCs w:val="24"/>
        </w:rPr>
      </w:pPr>
      <w:bookmarkStart w:id="23" w:name="_Toc51339698"/>
      <w:r>
        <w:rPr>
          <w:b/>
          <w:sz w:val="24"/>
          <w:szCs w:val="24"/>
        </w:rPr>
        <w:t xml:space="preserve">Таблица 4. Требования к </w:t>
      </w:r>
      <w:bookmarkEnd w:id="23"/>
      <w:r>
        <w:rPr>
          <w:b/>
          <w:sz w:val="24"/>
          <w:szCs w:val="24"/>
        </w:rPr>
        <w:t>продукции «ОКПД2 58.29.50.000 Поставка программного обеспечения и обновлений баз данных «ГрандСмета» для нужд филиала ПАО «РусГидро»-«Дагестанский филиал»</w:t>
      </w:r>
    </w:p>
    <w:tbl>
      <w:tblPr>
        <w:tblStyle w:val="af4"/>
        <w:tblW w:w="151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"/>
        <w:gridCol w:w="2411"/>
        <w:gridCol w:w="6312"/>
        <w:gridCol w:w="2902"/>
        <w:gridCol w:w="2778"/>
      </w:tblGrid>
      <w:tr>
        <w:trPr/>
        <w:tc>
          <w:tcPr>
            <w:tcW w:w="70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параметра</w:t>
            </w:r>
          </w:p>
        </w:tc>
        <w:tc>
          <w:tcPr>
            <w:tcW w:w="6312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8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0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167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63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9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2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2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всех позиций продукции представлены в Приложении № 1 к настоящим Техническим требованиям</w:t>
            </w:r>
          </w:p>
        </w:tc>
        <w:tc>
          <w:tcPr>
            <w:tcW w:w="2902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технико-коммерческом предложении согласие выполнить поставку продукции, полностью соответствующей настоящим техническим требованиям, по форме Технико-коммерческого предложения (Приложение 2 к запросу)</w:t>
            </w:r>
          </w:p>
        </w:tc>
        <w:tc>
          <w:tcPr>
            <w:tcW w:w="277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2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Использование эквивалентов других правообладателей невозможно, т.к. это не соответствует целевой архитектуре ИТ-инфраструктуры. Из-за несовместимости существующих решений, на которых размещаются другие программные продукты, и необходимости обеспечения взаимодействия таких решений с программными продуктами, используемыми Заказчиком (п. 6.5.1.3.б) Положения о закупке продукции для нужд Группы РусГидро).</w:t>
            </w:r>
          </w:p>
        </w:tc>
        <w:tc>
          <w:tcPr>
            <w:tcW w:w="290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7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2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90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Информационная безопасность</w:t>
            </w:r>
          </w:p>
        </w:tc>
        <w:tc>
          <w:tcPr>
            <w:tcW w:w="63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6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должны обеспечиваться на всех стадиях жизненного цикла систем, с учетом всех сторон, вовлеченных в процессы жизненного цикла.</w:t>
            </w:r>
          </w:p>
        </w:tc>
        <w:tc>
          <w:tcPr>
            <w:tcW w:w="290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2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0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2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 к месту поставки продукции представлены в Приложении № 1 к настоящим Техническим требованиям</w:t>
            </w:r>
          </w:p>
        </w:tc>
        <w:tc>
          <w:tcPr>
            <w:tcW w:w="290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вместе с ПО</w:t>
            </w:r>
          </w:p>
        </w:tc>
        <w:tc>
          <w:tcPr>
            <w:tcW w:w="63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Свидетельства о государственной регистрации продуктов и сертификаты соответствия</w:t>
            </w:r>
          </w:p>
        </w:tc>
        <w:tc>
          <w:tcPr>
            <w:tcW w:w="290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2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90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Взаимодействие представителей Заказчика и Поставщика</w:t>
            </w:r>
          </w:p>
        </w:tc>
        <w:tc>
          <w:tcPr>
            <w:tcW w:w="63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6"/>
                <w:kern w:val="0"/>
                <w:sz w:val="24"/>
                <w:szCs w:val="24"/>
                <w:lang w:val="ru-RU" w:eastAsia="ru-RU" w:bidi="ar-SA"/>
              </w:rPr>
              <w:t>Осуществляется через Комплекс средств автоматизации службы поддержки пользователей Заказчика, а также помимо этого может осуществляться лично, по телефону либо посредством электронной почты.</w:t>
            </w:r>
          </w:p>
        </w:tc>
        <w:tc>
          <w:tcPr>
            <w:tcW w:w="290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7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Способ поставки</w:t>
            </w:r>
          </w:p>
        </w:tc>
        <w:tc>
          <w:tcPr>
            <w:tcW w:w="63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6"/>
                <w:kern w:val="0"/>
                <w:sz w:val="24"/>
                <w:szCs w:val="24"/>
                <w:lang w:val="ru-RU" w:eastAsia="ru-RU" w:bidi="ar-SA"/>
              </w:rPr>
              <w:t>Передача Лицензиаром неисключительного права на ПО осуществляется путем передачи Лицензиату следующим способом: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6"/>
                <w:kern w:val="0"/>
                <w:sz w:val="24"/>
                <w:szCs w:val="24"/>
                <w:lang w:val="ru-RU" w:eastAsia="ru-RU" w:bidi="ar-SA"/>
              </w:rPr>
              <w:t>- на материальном носителе (дистрибутиве).</w:t>
            </w:r>
          </w:p>
        </w:tc>
        <w:tc>
          <w:tcPr>
            <w:tcW w:w="290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7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Подтверждение лицензиаром принадлежности исключительного/ неисключительного права на ПО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63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6"/>
                <w:kern w:val="0"/>
                <w:sz w:val="24"/>
                <w:szCs w:val="24"/>
                <w:lang w:val="ru-RU" w:eastAsia="ru-RU" w:bidi="ar-SA"/>
              </w:rPr>
              <w:t>Лицензиар обязуется на этапе заключения договора предоставить подтверждение принадлежности исключительного /неисключительного права на ПО (реквизиты договора, на основании которого Лицензиар приобрел право на ПО или иное основание) .</w:t>
            </w:r>
          </w:p>
        </w:tc>
        <w:tc>
          <w:tcPr>
            <w:tcW w:w="290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7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spacing w:before="0" w:after="0"/>
              <w:ind w:lef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2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документации:</w:t>
            </w:r>
          </w:p>
        </w:tc>
        <w:tc>
          <w:tcPr>
            <w:tcW w:w="29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Требования к обязательной сертификации ПО</w:t>
            </w:r>
          </w:p>
        </w:tc>
        <w:tc>
          <w:tcPr>
            <w:tcW w:w="63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6"/>
                <w:kern w:val="0"/>
                <w:sz w:val="24"/>
                <w:szCs w:val="24"/>
                <w:lang w:val="ru-RU" w:eastAsia="ru-RU" w:bidi="ar-SA"/>
              </w:rPr>
              <w:t>ПО должно иметь действующий сертификат в системе ГОСТ Р Федерального агентства по техническому регулированию и метрологии</w:t>
            </w:r>
          </w:p>
        </w:tc>
        <w:tc>
          <w:tcPr>
            <w:tcW w:w="29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Предоставление ссылки на официальный сайт производителя ПО  на этапе закупки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872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Сведения о ПО</w:t>
            </w:r>
          </w:p>
        </w:tc>
        <w:tc>
          <w:tcPr>
            <w:tcW w:w="63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6"/>
                <w:kern w:val="0"/>
                <w:sz w:val="24"/>
                <w:szCs w:val="24"/>
                <w:lang w:val="ru-RU" w:eastAsia="ru-RU" w:bidi="ar-SA"/>
              </w:rPr>
              <w:t>Сведения о ПО должны быть включены в реестр Единого реестра российских программ для ЭВМ и БД, согласно п. 6.4.6. Единого положения о закупке продукции для нужд Группы РусГидро: Закупки программ для электронных вычислительных машин и баз данных, осуществляемые независимо от вида договора на материальном носителе и (или) в электронном виде по каналам связи, а также прав использования такого программного обеспечения, включая временное (далее – программное обеспечение), осуществляются при условии, что сведения о таком программном обеспечении включены в единый реестр российских программ для электронных вычислительных машин и баз данных, созданный в соответствии со статьей 12.1 Федерального закона от 27 июля 2006 года № 149-ФЗ «Об информации, информационных технологиях и о защите информации» (далее – реестр).</w:t>
            </w:r>
          </w:p>
        </w:tc>
        <w:tc>
          <w:tcPr>
            <w:tcW w:w="29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Технико-коммерческое предложение (Приложение № 2 к Запросу)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 указанием в отношении поставляемой продукции информации о номере (номерах) реестровой записи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Heading1"/>
        <w:keepLines/>
        <w:numPr>
          <w:ilvl w:val="0"/>
          <w:numId w:val="3"/>
        </w:numPr>
        <w:spacing w:before="0" w:after="0"/>
        <w:ind w:left="0" w:hanging="357"/>
        <w:jc w:val="center"/>
        <w:rPr>
          <w:sz w:val="24"/>
          <w:szCs w:val="24"/>
        </w:rPr>
      </w:pPr>
      <w:bookmarkStart w:id="24" w:name="_Toc51339699"/>
      <w:bookmarkStart w:id="25" w:name="_Toc46743519"/>
      <w:bookmarkStart w:id="26" w:name="_Toc230595296"/>
      <w:bookmarkStart w:id="27" w:name="_Toc53395937"/>
      <w:bookmarkStart w:id="28" w:name="_Toc53393312"/>
      <w:r>
        <w:rPr>
          <w:sz w:val="24"/>
          <w:szCs w:val="24"/>
        </w:rPr>
        <w:t>Требования к документации по ценообразованию</w:t>
      </w:r>
      <w:bookmarkEnd w:id="27"/>
      <w:bookmarkEnd w:id="28"/>
      <w:r>
        <w:rPr>
          <w:sz w:val="24"/>
          <w:szCs w:val="24"/>
        </w:rPr>
        <w:t xml:space="preserve"> на этапе закупки</w:t>
      </w:r>
      <w:bookmarkEnd w:id="26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8"/>
        </w:numPr>
        <w:ind w:left="0" w:hanging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В обоснование стоимости своей заявки Участник предоставляет Технико-коммерческое предложение согласно приложению 2 к Запросу.</w:t>
      </w:r>
    </w:p>
    <w:p>
      <w:pPr>
        <w:pStyle w:val="Normal"/>
        <w:numPr>
          <w:ilvl w:val="1"/>
          <w:numId w:val="8"/>
        </w:numPr>
        <w:ind w:left="0" w:hanging="0"/>
        <w:jc w:val="both"/>
        <w:rPr>
          <w:i/>
          <w:i/>
          <w:iCs/>
          <w:sz w:val="24"/>
          <w:szCs w:val="24"/>
          <w:shd w:fill="FFFF99" w:val="clear"/>
        </w:rPr>
      </w:pPr>
      <w:bookmarkStart w:id="29" w:name="_Toc51339699"/>
      <w:bookmarkStart w:id="30" w:name="_Toc46743519"/>
      <w:r>
        <w:rPr>
          <w:bCs/>
          <w:iCs/>
          <w:sz w:val="24"/>
          <w:szCs w:val="24"/>
        </w:rPr>
        <w:t>Дополнительные документы по ценообразованию в состав заявки не включаются</w:t>
      </w:r>
      <w:bookmarkStart w:id="31" w:name="_Ref40301253"/>
      <w:bookmarkEnd w:id="29"/>
      <w:bookmarkEnd w:id="30"/>
      <w:r>
        <w:rPr>
          <w:bCs/>
          <w:iCs/>
          <w:sz w:val="24"/>
          <w:szCs w:val="24"/>
        </w:rPr>
        <w:t>.</w:t>
      </w:r>
      <w:bookmarkEnd w:id="31"/>
    </w:p>
    <w:p>
      <w:pPr>
        <w:pStyle w:val="Normal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spacing w:before="0" w:after="0"/>
        <w:ind w:left="0" w:hanging="357"/>
        <w:jc w:val="center"/>
        <w:rPr>
          <w:iCs/>
          <w:caps/>
          <w:sz w:val="24"/>
          <w:szCs w:val="24"/>
        </w:rPr>
      </w:pPr>
      <w:bookmarkStart w:id="32" w:name="_Toc230595297"/>
      <w:bookmarkStart w:id="33" w:name="_Toc75446585"/>
      <w:r>
        <w:rPr>
          <w:iCs/>
          <w:sz w:val="24"/>
          <w:szCs w:val="24"/>
        </w:rPr>
        <w:t>Приложения</w:t>
      </w:r>
      <w:bookmarkEnd w:id="32"/>
      <w:bookmarkEnd w:id="33"/>
    </w:p>
    <w:p>
      <w:pPr>
        <w:pStyle w:val="Normal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Приложение №1: Требования к продукции (индивидуальные требования по каждой позиции перечня продукции).</w:t>
      </w:r>
    </w:p>
    <w:p>
      <w:pPr>
        <w:pStyle w:val="Normal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Приложение №2: Требования к оформлению и составлению документации по ценообразованию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  <w:r>
        <w:br w:type="page"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 к Техническим требованиям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Требования к продукции (индивидуальные требования по каждой позиции перечня </w:t>
      </w:r>
      <w:r>
        <w:rPr>
          <w:b/>
          <w:sz w:val="24"/>
          <w:szCs w:val="24"/>
        </w:rPr>
        <w:t>ОКПД2 58.29.50.000 Поставка программного обеспечения и обновлений баз данных «ГрандСмета» для нужд филиала ПАО «РусГидро»-«Дагестанский филиал»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1d"/>
        <w:tblW w:w="1548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7"/>
        <w:gridCol w:w="1136"/>
        <w:gridCol w:w="2410"/>
        <w:gridCol w:w="714"/>
        <w:gridCol w:w="3965"/>
        <w:gridCol w:w="1418"/>
        <w:gridCol w:w="15"/>
        <w:gridCol w:w="1260"/>
        <w:gridCol w:w="1276"/>
        <w:gridCol w:w="1560"/>
        <w:gridCol w:w="1127"/>
      </w:tblGrid>
      <w:tr>
        <w:trPr>
          <w:trHeight w:val="311" w:hRule="atLeast"/>
        </w:trPr>
        <w:tc>
          <w:tcPr>
            <w:tcW w:w="59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136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br w:type="textWrapping" w:clear="all"/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Таблицы 2 «Перечень и объем закупаемой продукции»</w:t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112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Требования заказчика </w:t>
            </w:r>
          </w:p>
        </w:tc>
        <w:tc>
          <w:tcPr>
            <w:tcW w:w="5223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Предложения участника</w:t>
            </w:r>
          </w:p>
        </w:tc>
      </w:tr>
      <w:tr>
        <w:trPr>
          <w:trHeight w:val="726" w:hRule="atLeast"/>
        </w:trPr>
        <w:tc>
          <w:tcPr>
            <w:tcW w:w="59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Кол-во, шт</w:t>
            </w:r>
          </w:p>
        </w:tc>
        <w:tc>
          <w:tcPr>
            <w:tcW w:w="39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Кол-во, шт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1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>
          <w:trHeight w:val="223" w:hRule="atLeast"/>
        </w:trPr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9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1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>
          <w:trHeight w:val="223" w:hRule="atLeast"/>
        </w:trPr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Право на использование новых версий программы для ЭВМ «ГРАНД-Смета» в течение года с момента заключения договора, выпущенных в течение года, Запись в Реестре Российского ПО №11163</w:t>
            </w:r>
          </w:p>
        </w:tc>
        <w:tc>
          <w:tcPr>
            <w:tcW w:w="7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9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Содержание программы: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полный набор инструментов для расчета и составления сметной документации;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поддержка актуальных сметных нормативов и стандартов.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Функциональные возможности: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- совместимость с операционной системой Linux;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возможность запуска программы с флеш-накопителя;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интеграция с различными базами данных сметных нормативов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Совместимость с операционной системой Linux ОС «AlterOS» (версии 9.6).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Республика Дагестан, г. Каспийск, ул. М.Халилова, 5</w:t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согласие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согласие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согласие</w:t>
            </w:r>
          </w:p>
        </w:tc>
        <w:tc>
          <w:tcPr>
            <w:tcW w:w="11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2 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Право на использование новых версий БД «ФСНБ-2022 в формате программы для ЭВМ «ГРАНД-Смета» выпущенных в течение года, Запись в Реестре Российского ПО №16408</w:t>
            </w:r>
          </w:p>
        </w:tc>
        <w:tc>
          <w:tcPr>
            <w:tcW w:w="7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96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9" w:leader="none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База данных предназначенная для получения доступа обновлённых данных Федеральных сметных нормативов базы 2022 года для расчета и составления сметной документации</w:t>
            </w:r>
          </w:p>
          <w:p>
            <w:pPr>
              <w:pStyle w:val="Normal"/>
              <w:widowControl/>
              <w:tabs>
                <w:tab w:val="clear" w:pos="708"/>
                <w:tab w:val="left" w:pos="339" w:leader="none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Срок лицензии на получение обновлений в течение 12 месяцев с момента заключения контракта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Республика Дагестан, г. Каспийск, ул. М.Халилова, 5</w:t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согласие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согласие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согласие</w:t>
            </w:r>
          </w:p>
        </w:tc>
        <w:tc>
          <w:tcPr>
            <w:tcW w:w="11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Право на использование новых версий БД «Справочники базовых цен на проектные работы для строительства в формате программы для ЭВМ «Программный комплекс «ГРАНД-Смета», выпущенных в течение года (поставщик информации: ОАО "ЦЕНТРИНВЕСТпроект"), Запись в Реестре Российского ПО №20152</w:t>
            </w:r>
          </w:p>
        </w:tc>
        <w:tc>
          <w:tcPr>
            <w:tcW w:w="7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96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9" w:leader="none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База данных предназначенная для получения доступа обновлённых данных справочники базовых цен на проектные работы для строительства.</w:t>
            </w:r>
          </w:p>
          <w:p>
            <w:pPr>
              <w:pStyle w:val="Normal"/>
              <w:widowControl/>
              <w:tabs>
                <w:tab w:val="clear" w:pos="708"/>
                <w:tab w:val="left" w:pos="339" w:leader="none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Срок лицензии на получение обновлений в течение 12 месяцев с момента заключения контракта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Республика Дагестан, г. Каспийск, ул. М.Халилова, 5</w:t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согласие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согласие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согласие</w:t>
            </w:r>
          </w:p>
        </w:tc>
        <w:tc>
          <w:tcPr>
            <w:tcW w:w="11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согласие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 к Техническим требованиям</w:t>
      </w:r>
      <w:bookmarkStart w:id="34" w:name="_Hlk48224758"/>
    </w:p>
    <w:p>
      <w:pPr>
        <w:pStyle w:val="Normal"/>
        <w:spacing w:before="240" w:after="120"/>
        <w:jc w:val="center"/>
        <w:rPr>
          <w:b/>
          <w:bCs/>
          <w:i/>
          <w:i/>
          <w:caps/>
          <w:sz w:val="24"/>
          <w:szCs w:val="24"/>
          <w:shd w:fill="FFFF99" w:val="clear"/>
        </w:rPr>
      </w:pPr>
      <w:r>
        <w:rPr>
          <w:b/>
          <w:bCs/>
          <w:caps/>
          <w:sz w:val="24"/>
          <w:szCs w:val="24"/>
        </w:rPr>
        <w:t xml:space="preserve">Требования </w:t>
        <w:br/>
        <w:t>к оформлению и составлению документации по ценообразованию</w:t>
      </w:r>
      <w:bookmarkEnd w:id="34"/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Поставщик должен предоставить технико-коммерческое предложение, которое включает соответствующую форму:</w:t>
      </w:r>
    </w:p>
    <w:p>
      <w:pPr>
        <w:pStyle w:val="Normal"/>
        <w:jc w:val="both"/>
        <w:rPr>
          <w:sz w:val="10"/>
        </w:rPr>
      </w:pPr>
      <w:r>
        <w:rPr>
          <w:sz w:val="10"/>
        </w:rPr>
      </w:r>
    </w:p>
    <w:tbl>
      <w:tblPr>
        <w:tblpPr w:bottomFromText="0" w:horzAnchor="margin" w:leftFromText="180" w:rightFromText="180" w:tblpX="0" w:tblpY="362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0"/>
        <w:gridCol w:w="968"/>
        <w:gridCol w:w="979"/>
        <w:gridCol w:w="977"/>
        <w:gridCol w:w="1238"/>
        <w:gridCol w:w="1162"/>
        <w:gridCol w:w="995"/>
        <w:gridCol w:w="1172"/>
        <w:gridCol w:w="1104"/>
        <w:gridCol w:w="824"/>
        <w:gridCol w:w="1027"/>
        <w:gridCol w:w="881"/>
        <w:gridCol w:w="825"/>
        <w:gridCol w:w="1149"/>
        <w:gridCol w:w="791"/>
      </w:tblGrid>
      <w:tr>
        <w:trPr>
          <w:trHeight w:val="526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ПО и БД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lightGray"/>
              </w:rPr>
              <w:t>Порядковый номер(а) реестровой(ых) записи(ей)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Спецификация поставляемого программного обеспечения и баз данных</w:t>
      </w:r>
    </w:p>
    <w:sectPr>
      <w:headerReference w:type="default" r:id="rId9"/>
      <w:headerReference w:type="first" r:id="rId10"/>
      <w:footnotePr>
        <w:numFmt w:val="decimal"/>
      </w:footnotePr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2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  <w:rFonts w:eastAsia="Arial"/>
                            </w:rPr>
                          </w:pPr>
                          <w:r>
                            <w:rPr>
                              <w:rStyle w:val="Pagenumber"/>
                              <w:rFonts w:eastAsia="Arial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eastAsia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eastAsia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eastAsia="Arial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  <w:rFonts w:eastAsia="Arial"/>
                      </w:rPr>
                    </w:pPr>
                    <w:r>
                      <w:rPr>
                        <w:rStyle w:val="Pagenumber"/>
                        <w:rFonts w:eastAsia="Arial"/>
                      </w:rPr>
                      <w:fldChar w:fldCharType="begin"/>
                    </w:r>
                    <w:r>
                      <w:rPr>
                        <w:rStyle w:val="Pagenumber"/>
                        <w:rFonts w:eastAsia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eastAsia="Arial"/>
                      </w:rPr>
                      <w:fldChar w:fldCharType="separate"/>
                    </w:r>
                    <w:r>
                      <w:rPr>
                        <w:rStyle w:val="Pagenumber"/>
                        <w:rFonts w:eastAsia="Arial"/>
                      </w:rPr>
                      <w:t>0</w:t>
                    </w:r>
                    <w:r>
                      <w:rPr>
                        <w:rStyle w:val="Pagenumber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szCs w:val="24"/>
        <w:iCs w:val="false"/>
        <w:bCs w:val="false"/>
        <w:vanish w:val="false"/>
        <w:rFonts w:ascii="Times New Roman" w:hAnsi="Times New Roman" w:cs="Times New Roman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倀¬ㇰ ɦєㇰ屄ۆ㇨捏瞔9 æ腀띠묠闝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磾ㅼýý闝㎀ᇛ礂퉨ۓɤㅼý퉨ۓᇧ礂ە8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磾ㅼýý闝㎀ᇛ礂퉨ۓɤㅼý퉨ۓᇧ礂ە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磾ㅼýý闝㎀ᇛ礂퉨ۓɤㅼý퉨ۓᇧ礂ە8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sz w:val="24"/>
        <w:i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9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1" w:customStyle="1">
    <w:name w:val="Нижний колонтитул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2" w:customStyle="1">
    <w:name w:val="Символ сноски"/>
    <w:qFormat/>
    <w:rsid w:val="00f73cb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uiPriority w:val="99"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character" w:styleId="6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3" w:customStyle="1">
    <w:name w:val="Название Знак"/>
    <w:link w:val="14"/>
    <w:uiPriority w:val="10"/>
    <w:qFormat/>
    <w:rPr>
      <w:sz w:val="28"/>
    </w:rPr>
  </w:style>
  <w:style w:type="character" w:styleId="Style4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21" w:customStyle="1">
    <w:name w:val="Цитата 2 Знак"/>
    <w:link w:val="Quote"/>
    <w:uiPriority w:val="29"/>
    <w:qFormat/>
    <w:rPr>
      <w:rFonts w:ascii="Calibri" w:hAnsi="Calibri" w:eastAsia="Calibri"/>
      <w:i/>
      <w:iCs/>
      <w:color w:val="000000"/>
    </w:rPr>
  </w:style>
  <w:style w:type="character" w:styleId="Style5" w:customStyle="1">
    <w:name w:val="Выделенная цитата Знак"/>
    <w:link w:val="IntenseQuote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6" w:customStyle="1">
    <w:name w:val="Электронная подпись Знак"/>
    <w:link w:val="E-mailSignature"/>
    <w:uiPriority w:val="99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rPr>
      <w:sz w:val="28"/>
    </w:rPr>
  </w:style>
  <w:style w:type="character" w:styleId="Style7" w:customStyle="1">
    <w:name w:val="Текст сноски Знак"/>
    <w:uiPriority w:val="99"/>
    <w:qFormat/>
    <w:rPr/>
  </w:style>
  <w:style w:type="character" w:styleId="Style8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9" w:customStyle="1">
    <w:name w:val="Абзац списка Знак"/>
    <w:link w:val="ListParagraph"/>
    <w:uiPriority w:val="34"/>
    <w:qFormat/>
    <w:rPr>
      <w:rFonts w:eastAsia="Calibri"/>
      <w:sz w:val="24"/>
      <w:szCs w:val="24"/>
    </w:rPr>
  </w:style>
  <w:style w:type="character" w:styleId="Style10" w:customStyle="1">
    <w:name w:val="комментарий"/>
    <w:qFormat/>
    <w:rPr>
      <w:b/>
      <w:i/>
      <w:shd w:fill="FFFF99" w:val="clear"/>
    </w:rPr>
  </w:style>
  <w:style w:type="character" w:styleId="Style11" w:customStyle="1">
    <w:name w:val="Подподпункт Знак"/>
    <w:link w:val="Style31"/>
    <w:qFormat/>
    <w:rPr>
      <w:sz w:val="26"/>
      <w:szCs w:val="26"/>
    </w:rPr>
  </w:style>
  <w:style w:type="character" w:styleId="31" w:customStyle="1">
    <w:name w:val="УРОВЕНЬ_Абзац_тип3 Знак"/>
    <w:link w:val="35"/>
    <w:qFormat/>
    <w:rPr>
      <w:rFonts w:eastAsia="Calibri"/>
      <w:sz w:val="26"/>
      <w:szCs w:val="28"/>
      <w:lang w:eastAsia="en-US"/>
    </w:rPr>
  </w:style>
  <w:style w:type="character" w:styleId="Style12" w:customStyle="1">
    <w:name w:val="Верхний колонтитул Знак"/>
    <w:uiPriority w:val="99"/>
    <w:qFormat/>
    <w:rPr>
      <w:sz w:val="24"/>
      <w:szCs w:val="24"/>
    </w:rPr>
  </w:style>
  <w:style w:type="character" w:styleId="Style13" w:customStyle="1">
    <w:name w:val="Текст примечания Знак"/>
    <w:link w:val="Annotationtext"/>
    <w:semiHidden/>
    <w:qFormat/>
    <w:rPr/>
  </w:style>
  <w:style w:type="character" w:styleId="Style14" w:customStyle="1">
    <w:name w:val="Текст концевой сноски Знак"/>
    <w:basedOn w:val="DefaultParagraphFont"/>
    <w:qFormat/>
    <w:rPr/>
  </w:style>
  <w:style w:type="character" w:styleId="Style15">
    <w:name w:val="Символ концевой сноски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5"/>
    <w:qFormat/>
    <w:rPr>
      <w:b/>
      <w:sz w:val="28"/>
    </w:rPr>
  </w:style>
  <w:style w:type="character" w:styleId="12" w:customStyle="1">
    <w:name w:val="УРОВЕНЬ_1. Знак"/>
    <w:link w:val="18"/>
    <w:qFormat/>
    <w:rPr>
      <w:rFonts w:eastAsia="Calibri"/>
      <w:caps/>
      <w:sz w:val="28"/>
      <w:szCs w:val="28"/>
      <w:lang w:eastAsia="en-US"/>
    </w:rPr>
  </w:style>
  <w:style w:type="character" w:styleId="23" w:customStyle="1">
    <w:name w:val="Основной текст (2)_"/>
    <w:basedOn w:val="DefaultParagraphFont"/>
    <w:link w:val="211"/>
    <w:qFormat/>
    <w:rPr>
      <w:shd w:fill="FFFFFF" w:val="clear"/>
    </w:rPr>
  </w:style>
  <w:style w:type="character" w:styleId="29" w:customStyle="1">
    <w:name w:val="Основной текст (2) + 9"/>
    <w:basedOn w:val="23"/>
    <w:qFormat/>
    <w:rPr>
      <w:rFonts w:cs="Times New Roman"/>
      <w:color w:val="000000"/>
      <w:spacing w:val="0"/>
      <w:sz w:val="19"/>
      <w:szCs w:val="19"/>
      <w:shd w:fill="FFFFFF" w:val="clear"/>
      <w:lang w:val="ru-RU" w:eastAsia="ru-RU"/>
    </w:rPr>
  </w:style>
  <w:style w:type="character" w:styleId="2Arial" w:customStyle="1">
    <w:name w:val="Основной текст (2) + Arial"/>
    <w:basedOn w:val="23"/>
    <w:qFormat/>
    <w:rPr>
      <w:rFonts w:ascii="Arial" w:hAnsi="Arial" w:cs="Arial"/>
      <w:color w:val="000000"/>
      <w:spacing w:val="0"/>
      <w:sz w:val="17"/>
      <w:szCs w:val="17"/>
      <w:shd w:fill="FFFFFF" w:val="clear"/>
      <w:lang w:val="ru-RU" w:eastAsia="ru-RU"/>
    </w:rPr>
  </w:style>
  <w:style w:type="character" w:styleId="Style16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8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19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20" w:customStyle="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7"/>
    <w:uiPriority w:val="99"/>
    <w:pPr/>
    <w:rPr>
      <w:sz w:val="20"/>
      <w:szCs w:val="20"/>
    </w:rPr>
  </w:style>
  <w:style w:type="paragraph" w:styleId="13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3"/>
    <w:uiPriority w:val="10"/>
    <w:qFormat/>
    <w:pPr>
      <w:jc w:val="center"/>
    </w:pPr>
    <w:rPr>
      <w:szCs w:val="20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5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pPr/>
    <w:rPr/>
  </w:style>
  <w:style w:type="paragraph" w:styleId="Style25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uiPriority w:val="39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3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uiPriority w:val="39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4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9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6"/>
    <w:uiPriority w:val="99"/>
    <w:unhideWhenUsed/>
    <w:qFormat/>
    <w:pPr/>
    <w:rPr>
      <w:rFonts w:eastAsia="Calibri"/>
      <w:sz w:val="24"/>
      <w:szCs w:val="24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3" w:customStyle="1">
    <w:name w:val="List 3"/>
    <w:basedOn w:val="Normal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11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32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EndnoteText">
    <w:name w:val="Endnote Text"/>
    <w:basedOn w:val="Normal"/>
    <w:link w:val="Style14"/>
    <w:pPr/>
    <w:rPr>
      <w:sz w:val="20"/>
      <w:szCs w:val="20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Style34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11" w:customStyle="1">
    <w:name w:val="Основной текст (2)"/>
    <w:basedOn w:val="Normal"/>
    <w:link w:val="23"/>
    <w:qFormat/>
    <w:pPr>
      <w:widowControl w:val="false"/>
      <w:shd w:val="clear" w:color="auto" w:fill="FFFFFF"/>
      <w:spacing w:lineRule="exact" w:line="274"/>
      <w:jc w:val="both"/>
    </w:pPr>
    <w:rPr>
      <w:sz w:val="20"/>
      <w:szCs w:val="20"/>
    </w:rPr>
  </w:style>
  <w:style w:type="paragraph" w:styleId="Style3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</w:style>
  <w:style w:type="numbering" w:styleId="212" w:customStyle="1">
    <w:name w:val="Стиль2"/>
    <w:uiPriority w:val="99"/>
    <w:qFormat/>
  </w:style>
  <w:style w:type="numbering" w:styleId="WW8Num1" w:customStyle="1">
    <w:name w:val="WW8Num1"/>
    <w:qFormat/>
    <w:rsid w:val="00f73cb6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5">
    <w:name w:val="Plain Table 2"/>
    <w:basedOn w:val="a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3">
    <w:name w:val="Plain Table 3"/>
    <w:basedOn w:val="a5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styleId="-7">
    <w:name w:val="Grid Table 7 Colorful"/>
    <w:basedOn w:val="a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0B7E1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single" w:color="A0B7E1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2C6E7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A2C6E7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single" w:color="A2C6E7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C2E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single" w:color="9BC2E5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4">
    <w:name w:val="Table Grid"/>
    <w:basedOn w:val="a5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d">
    <w:name w:val="Сетка таблицы1"/>
    <w:basedOn w:val="a5"/>
    <w:uiPriority w:val="39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DAD1-1E82-4AC8-A0E6-8D2D1C6C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AlterOffice/2025.2.1.0$Linux_X86_64 LibreOffice_project/d2c615264c9535987c375e0f04a158be6015ce3d</Application>
  <AppVersion>15.0000</AppVersion>
  <Pages>9</Pages>
  <Words>1354</Words>
  <Characters>9168</Characters>
  <CharactersWithSpaces>10228</CharactersWithSpaces>
  <Paragraphs>232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2026-05-25T06:57:00Z</dcterms:created>
  <dc:creator/>
  <dc:description/>
  <dc:language>ru-RU</dc:language>
  <cp:lastModifiedBy>chintilovamm@corp.gidroogk.com</cp:lastModifiedBy>
  <dcterms:modified xsi:type="dcterms:W3CDTF">2026-05-26T09:28:02Z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