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«ОКПД2 38.11.29.000. Оказание услуг по вывозу производственных отходов по адресу: Санкт-Петербург, ул. </w:t>
      </w:r>
      <w:bookmarkStart w:id="0" w:name="_GoBack"/>
      <w:bookmarkEnd w:id="0"/>
      <w:r>
        <w:rPr>
          <w:szCs w:val="22"/>
          <w:lang w:eastAsia="en-US"/>
        </w:rPr>
        <w:t xml:space="preserve">Гжатская, д.21, </w:t>
      </w:r>
    </w:p>
    <w:p>
      <w:pPr>
        <w:pStyle w:val="Normal"/>
        <w:keepNext w:val="true"/>
        <w:keepLines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для нужд АО «ВНИИГ им. Б.Е. Веденеева</w:t>
      </w:r>
      <w:r>
        <w:rPr/>
        <w:t xml:space="preserve">» </w:t>
      </w:r>
    </w:p>
    <w:p>
      <w:pPr>
        <w:pStyle w:val="Normal"/>
        <w:keepNext w:val="true"/>
        <w:keepLines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Лот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6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Toc170747469">
            <w:r>
              <w:rPr>
                <w:webHidden/>
                <w:vanish w:val="false"/>
              </w:rPr>
              <w:t>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/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_Toc170747469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0">
            <w:r>
              <w:rPr>
                <w:webHidden/>
                <w:iCs/>
                <w:vanish w:val="false"/>
              </w:rPr>
              <w:t>1.1.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_Toc170747470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1">
            <w:r>
              <w:rPr>
                <w:webHidden/>
                <w:iCs/>
                <w:vanish w:val="false"/>
              </w:rPr>
              <w:t>1.2.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_Toc170747471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2">
            <w:r>
              <w:rPr>
                <w:webHidden/>
                <w:iCs/>
                <w:vanish w:val="false"/>
              </w:rPr>
              <w:t>1.3.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Цель выполнения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_Toc170747472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4">
            <w:r>
              <w:rPr>
                <w:webHidden/>
                <w:iCs/>
                <w:vanish w:val="false"/>
              </w:rPr>
              <w:t>1.4.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_Toc170747474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75">
            <w:r>
              <w:rPr>
                <w:webHidden/>
                <w:vanish w:val="false"/>
              </w:rPr>
              <w:t>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/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_Toc170747475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6">
            <w:r>
              <w:rPr>
                <w:webHidden/>
                <w:iCs/>
                <w:vanish w:val="false"/>
              </w:rPr>
              <w:t>2.1.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_Toc170747476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7">
            <w:r>
              <w:rPr>
                <w:webHidden/>
                <w:vanish w:val="false"/>
              </w:rPr>
              <w:t>2.1.1.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_Toc170747477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79">
            <w:r>
              <w:rPr>
                <w:webHidden/>
                <w:vanish w:val="false"/>
              </w:rPr>
              <w:t>2.1.2.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_Toc170747479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0747481">
            <w:r>
              <w:rPr>
                <w:webHidden/>
                <w:iCs/>
                <w:vanish w:val="false"/>
              </w:rPr>
              <w:t>2.2.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_Toc170747481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6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70747483">
            <w:r>
              <w:rPr>
                <w:webHidden/>
                <w:vanish w:val="false"/>
              </w:rPr>
              <w:t>3.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/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_Toc170747483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6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70747484">
            <w:r>
              <w:rPr>
                <w:webHidden/>
                <w:b/>
                <w:iCs/>
                <w:vanish w:val="false"/>
                <w:lang w:val="x-none" w:eastAsia="x-none"/>
              </w:rPr>
              <w:t>Приложение №</w:t>
            </w:r>
            <w:r>
              <w:rPr>
                <w:b/>
                <w:iCs/>
                <w:lang w:eastAsia="x-none"/>
              </w:rPr>
              <w:t>1</w:t>
            </w:r>
            <w:r>
              <w:rPr>
                <w:b/>
                <w:iCs/>
                <w:lang w:val="x-none" w:eastAsia="x-none"/>
              </w:rPr>
              <w:t xml:space="preserve"> к Техническим требованиям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_Toc170747484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2"/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ind w:left="0" w:hanging="0"/>
        <w:jc w:val="center"/>
        <w:rPr>
          <w:caps/>
        </w:rPr>
      </w:pPr>
      <w:bookmarkStart w:id="1" w:name="_Toc170747469"/>
      <w:r>
        <w:rPr/>
        <w:t>Общие сведения</w:t>
      </w:r>
      <w:bookmarkEnd w:id="1"/>
    </w:p>
    <w:p>
      <w:pPr>
        <w:pStyle w:val="4"/>
        <w:numPr>
          <w:ilvl w:val="1"/>
          <w:numId w:val="17"/>
        </w:numPr>
        <w:ind w:left="0" w:firstLine="720"/>
        <w:rPr/>
      </w:pPr>
      <w:bookmarkStart w:id="2" w:name="_Toc170747470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ФККО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классификационный каталог отходов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4"/>
        <w:numPr>
          <w:ilvl w:val="1"/>
          <w:numId w:val="18"/>
        </w:numPr>
        <w:ind w:left="0" w:firstLine="720"/>
        <w:rPr>
          <w:iCs/>
        </w:rPr>
      </w:pPr>
      <w:bookmarkStart w:id="4" w:name="_Toc124334527"/>
      <w:r>
        <w:rPr>
          <w:iCs/>
        </w:rPr>
        <w:t xml:space="preserve"> </w:t>
      </w:r>
      <w:bookmarkStart w:id="5" w:name="_Toc170747471"/>
      <w:r>
        <w:rPr/>
        <w:t>Наименование закупаемой продукции</w:t>
      </w:r>
      <w:bookmarkEnd w:id="4"/>
      <w:bookmarkEnd w:id="5"/>
      <w:r>
        <w:rPr>
          <w:iCs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ОКПД2 38.11.29.000 «Вывоз производственных отходов» </w:t>
      </w:r>
      <w:bookmarkStart w:id="6" w:name="_Toc46743506"/>
    </w:p>
    <w:p>
      <w:pPr>
        <w:pStyle w:val="4"/>
        <w:numPr>
          <w:ilvl w:val="1"/>
          <w:numId w:val="19"/>
        </w:numPr>
        <w:ind w:left="0" w:firstLine="720"/>
        <w:rPr/>
      </w:pPr>
      <w:bookmarkStart w:id="7" w:name="_Toc170747472"/>
      <w:r>
        <w:rPr/>
        <w:t>Цель выполнения услуг</w:t>
      </w:r>
      <w:bookmarkEnd w:id="7"/>
    </w:p>
    <w:p>
      <w:pPr>
        <w:pStyle w:val="Normal"/>
        <w:ind w:firstLine="709"/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 xml:space="preserve">Оказание услуг для АО «ВНИИГ им. Б. Е. Веденеева» по вывозу производственных отходов в полном объёме. </w:t>
      </w:r>
    </w:p>
    <w:p>
      <w:pPr>
        <w:pStyle w:val="1"/>
        <w:numPr>
          <w:ilvl w:val="0"/>
          <w:numId w:val="0"/>
        </w:numPr>
        <w:ind w:left="0" w:hanging="0"/>
        <w:rPr/>
      </w:pPr>
      <w:bookmarkStart w:id="8" w:name="_Toc170747473"/>
      <w:bookmarkEnd w:id="6"/>
      <w:r>
        <w:rPr/>
        <w:t>Таблица 1. Перечень объектов заказчика</w:t>
      </w:r>
      <w:bookmarkEnd w:id="8"/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4"/>
        <w:gridCol w:w="2129"/>
        <w:gridCol w:w="3686"/>
        <w:gridCol w:w="2268"/>
        <w:gridCol w:w="1559"/>
      </w:tblGrid>
      <w:tr>
        <w:trPr/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«Производственная площадка АО «ВНИИГ им. Б.Е. Веденеева» (кадастровый номер: 78:10:0005208:10; по адресу: 195220, г. Санкт-Петербург, ул. Гжатская, д. 21, литера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4"/>
        <w:numPr>
          <w:ilvl w:val="1"/>
          <w:numId w:val="20"/>
        </w:numPr>
        <w:ind w:left="0" w:firstLine="720"/>
        <w:rPr/>
      </w:pPr>
      <w:bookmarkStart w:id="9" w:name="_Toc170747474"/>
      <w:r>
        <w:rPr/>
        <w:t>Иные требования и сведения общего характера</w:t>
      </w:r>
      <w:bookmarkEnd w:id="9"/>
      <w:r>
        <w:rPr/>
        <w:t xml:space="preserve"> 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Заказчик имеет лицензию на осуществление работ со сведениями, составляющими государственную тайну, в связи с чем,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 На основании данного обстоятельства вход на территорию Заказчика работникам Участника, - иностранным гражданам может быть  запрещён. В случае недопуска Заказчиком работников Участника, - иностранных граждан, -  для оказания услуг по договору не влечет перенос сроков оказания услуг и не освобождает Участника от ответственности за нарушение сроков оказания услуг.</w:t>
      </w:r>
    </w:p>
    <w:p>
      <w:pPr>
        <w:pStyle w:val="1"/>
        <w:ind w:left="0" w:hanging="0"/>
        <w:jc w:val="center"/>
        <w:rPr/>
      </w:pPr>
      <w:bookmarkStart w:id="10" w:name="_Toc170747475"/>
      <w:r>
        <w:rPr/>
        <w:t>Требования к продукции</w:t>
      </w:r>
      <w:bookmarkEnd w:id="10"/>
    </w:p>
    <w:p>
      <w:pPr>
        <w:pStyle w:val="4"/>
        <w:numPr>
          <w:ilvl w:val="1"/>
          <w:numId w:val="21"/>
        </w:numPr>
        <w:ind w:left="0" w:firstLine="720"/>
        <w:rPr/>
      </w:pPr>
      <w:bookmarkStart w:id="11" w:name="_Toc17074747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3"/>
        <w:numPr>
          <w:ilvl w:val="2"/>
          <w:numId w:val="22"/>
        </w:numPr>
        <w:ind w:left="0" w:firstLine="720"/>
        <w:rPr/>
      </w:pPr>
      <w:bookmarkStart w:id="12" w:name="_Toc170747477"/>
      <w:r>
        <w:rPr/>
        <w:t>Требования к перечню и объему услуг</w:t>
      </w:r>
      <w:bookmarkEnd w:id="12"/>
    </w:p>
    <w:p>
      <w:pPr>
        <w:pStyle w:val="1"/>
        <w:numPr>
          <w:ilvl w:val="0"/>
          <w:numId w:val="0"/>
        </w:numPr>
        <w:ind w:left="0" w:hanging="0"/>
        <w:rPr>
          <w:sz w:val="24"/>
        </w:rPr>
      </w:pPr>
      <w:bookmarkStart w:id="13" w:name="_Toc170747478"/>
      <w:bookmarkStart w:id="14" w:name="_Toc51339695"/>
      <w:r>
        <w:rPr>
          <w:sz w:val="24"/>
        </w:rPr>
        <w:t xml:space="preserve">Таблица 2. Перечень </w:t>
      </w:r>
      <w:bookmarkEnd w:id="14"/>
      <w:r>
        <w:rPr>
          <w:sz w:val="24"/>
        </w:rPr>
        <w:t>и объем оказываемых услуг</w:t>
      </w:r>
      <w:bookmarkEnd w:id="13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4"/>
        <w:gridCol w:w="21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Вывоз производственных отходов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864</w:t>
            </w:r>
          </w:p>
        </w:tc>
      </w:tr>
    </w:tbl>
    <w:p>
      <w:pPr>
        <w:pStyle w:val="3"/>
        <w:numPr>
          <w:ilvl w:val="2"/>
          <w:numId w:val="23"/>
        </w:numPr>
        <w:ind w:left="0" w:firstLine="720"/>
        <w:rPr/>
      </w:pPr>
      <w:bookmarkStart w:id="15" w:name="_Toc170747479"/>
      <w:bookmarkStart w:id="16" w:name="_Toc51339696"/>
      <w:r>
        <w:rPr/>
        <w:t xml:space="preserve">Требования </w:t>
      </w:r>
      <w:bookmarkEnd w:id="16"/>
      <w:r>
        <w:rPr/>
        <w:t>к срокам оказания услуг</w:t>
      </w:r>
      <w:bookmarkEnd w:id="15"/>
    </w:p>
    <w:p>
      <w:pPr>
        <w:pStyle w:val="Normal"/>
        <w:ind w:firstLine="709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Исполнителем в следующие сроки: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709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Начало оказания услуг: </w:t>
      </w:r>
      <w:r>
        <w:rPr>
          <w:sz w:val="24"/>
          <w:szCs w:val="24"/>
        </w:rPr>
        <w:t>1 января 2027 г.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709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Период оказания услуг: 12 месяцев.</w:t>
      </w:r>
    </w:p>
    <w:p>
      <w:pPr>
        <w:pStyle w:val="1"/>
        <w:numPr>
          <w:ilvl w:val="0"/>
          <w:numId w:val="0"/>
        </w:numPr>
        <w:ind w:left="0" w:hanging="0"/>
        <w:rPr>
          <w:sz w:val="24"/>
          <w:lang w:val="ru-RU"/>
        </w:rPr>
      </w:pPr>
      <w:bookmarkStart w:id="17" w:name="_Toc170747480"/>
      <w:bookmarkStart w:id="18" w:name="_Toc51339697"/>
      <w:bookmarkStart w:id="19" w:name="_Toc50125127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20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18"/>
      <w:bookmarkEnd w:id="19"/>
      <w:bookmarkEnd w:id="20"/>
      <w:r>
        <w:rPr>
          <w:sz w:val="24"/>
          <w:lang w:val="ru-RU"/>
        </w:rPr>
        <w:t>оказания услуг</w:t>
      </w:r>
      <w:bookmarkEnd w:id="17"/>
    </w:p>
    <w:tbl>
      <w:tblPr>
        <w:tblW w:w="1077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3006"/>
        <w:gridCol w:w="2977"/>
        <w:gridCol w:w="3797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Вывоз производственных отходов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  <w:lang w:val="en-US"/>
              </w:rPr>
              <w:t>7 г.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  <w:lang w:val="en-US"/>
              </w:rPr>
              <w:t>7 г.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851" w:header="680" w:top="1134" w:footer="737" w:bottom="992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24"/>
        </w:numPr>
        <w:ind w:left="0" w:firstLine="720"/>
        <w:rPr>
          <w:rFonts w:eastAsia="Calibri"/>
          <w:b/>
          <w:b/>
          <w:sz w:val="24"/>
          <w:szCs w:val="24"/>
          <w:lang w:eastAsia="x-none"/>
        </w:rPr>
      </w:pPr>
      <w:bookmarkStart w:id="21" w:name="_Toc51339698"/>
      <w:bookmarkStart w:id="22" w:name="_Toc50125131"/>
      <w:bookmarkStart w:id="23" w:name="_Toc170747481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3"/>
    </w:p>
    <w:p>
      <w:pPr>
        <w:pStyle w:val="1"/>
        <w:numPr>
          <w:ilvl w:val="0"/>
          <w:numId w:val="0"/>
        </w:numPr>
        <w:ind w:left="0" w:hanging="0"/>
        <w:rPr>
          <w:sz w:val="24"/>
        </w:rPr>
      </w:pPr>
      <w:bookmarkStart w:id="25" w:name="_Toc170747482"/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21"/>
      <w:bookmarkEnd w:id="22"/>
      <w:r>
        <w:rPr>
          <w:sz w:val="24"/>
          <w:lang w:val="ru-RU"/>
        </w:rPr>
        <w:t>качеству услуг</w:t>
      </w:r>
      <w:bookmarkEnd w:id="25"/>
      <w:r>
        <w:rPr>
          <w:sz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/>
          <w:sz w:val="24"/>
          <w:szCs w:val="24"/>
        </w:rPr>
        <w:t>Вывоз производственных отходов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"/>
        <w:gridCol w:w="2462"/>
        <w:gridCol w:w="4447"/>
        <w:gridCol w:w="1879"/>
        <w:gridCol w:w="2675"/>
        <w:gridCol w:w="2741"/>
      </w:tblGrid>
      <w:tr>
        <w:trPr/>
        <w:tc>
          <w:tcPr>
            <w:tcW w:w="6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4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Вывоз производственных отходов (отходов 4-5 класса опасности):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Перечень отходов с указанием кода ФККО: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отходы (мусор) от строительных и ремонтных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(8 90 000 01 72 4);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мусор и смет производственных помещений малоопасный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(7 33 210 01 72 4);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отходы проб грунта, донных отложений и/или почвы,  незагрязненных химическими реагентами, при лабораторных  исследованиях  (9 48 101 91 20 4);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обтирочный материал, загрязненный нефтью или нефтепродуктами (содержание нефти или нефтепродуктов менее 15 %) (9 19 204 02 60 4);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(4 02 110 01 62 4)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бой бетонных изделий (3 46 200 01 20 5);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смет с территории предприятия практически неопасный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(7 33 390 02 71 5);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растительные отходы при уходе за зелеными насаждениями на территории производственных объектов практически неопасные (7 33 387 12 20 5);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отходы песка незагрязненные (8 19 100 01 49 5).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lang w:val="ru-RU" w:eastAsia="ru-RU" w:bidi="ar-SA"/>
              </w:rPr>
              <w:t>Перечень отходов может быть дополнен и изменен на основании уведомительного письма с предоставлением документов подтверждающих отнесение отхода к конкретному классу опасности, без заключения дополнительного соглашения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от места установки контейнеров на территории Заказчика по адресу: г. Санкт-Петербург, Гжатская ул., д. 21, до лицензированного объекта (далее – Полигон)  в целях обезвреживания, утилизации, размещения отходов.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cs="Verdana"/>
                <w:sz w:val="24"/>
              </w:rPr>
            </w:pPr>
            <w:r>
              <w:rPr>
                <w:rFonts w:eastAsia="Times New Roman" w:cs="Verdana"/>
                <w:kern w:val="0"/>
                <w:sz w:val="24"/>
                <w:szCs w:val="24"/>
                <w:lang w:val="ru-RU" w:eastAsia="ru-RU" w:bidi="ar-SA"/>
              </w:rPr>
              <w:t>Объект размещения отходов (Полигон) состоит в государственном реестре объектов размещения отходов.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использовать для оказания услуг технически исправные автотранспортные средства, пригодные для перевозки отходов и отвечающие санитарным требованиям и экологическим нормам, оборудование, инструменты, расходные материалы.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78" w:hRule="atLeast"/>
        </w:trPr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должны быть в технически исправном состоянии, соответствовать требованиям ТР ТС 018/2011 Технический регламент Таможенного союза о безопасности колесных транспортных средств»;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не должны иметь недостатков и неисправностей, при наличии которых их эксплуатация запрещена;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не должны быть заложены или арестованы, не должны являться предметом исков третьих лиц;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ТС должно осуществляться в соответствии с требованиями ПДД РФ, с учетом интенсивности движения, особенности и состояния ТС, а также метеоусловий.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Принятие производственных отходов в объеме и в месте установки контейнеров на территории Заказчика и обеспечение их сбор, транспортирование, размещение, обезвреживание/утилизацию в соответствии с законодательством Российской Федерации</w:t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Принятие производственных отходов в объеме и в месте установки контейнеров на территории Заказчика и обеспечение их сбор, транспортирование, размещение, обезвреживание/утилизацию в соответствии с законодательством Российской Федерации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hd w:fill="auto" w:val="clear"/>
              </w:rPr>
            </w:pP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Объем образуемых и вывозимых отходов в месяц 4 раза по 14 м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 итого:  56  м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hd w:fill="auto" w:val="clear"/>
              </w:rPr>
            </w:pP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Объем образуемых и вывозимых отходов в месяц 2 раза по 8 м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 итого: 16  м</w:t>
            </w:r>
            <w:r>
              <w:rPr>
                <w:rFonts w:eastAsia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Arial Unicode MS"/>
                <w:sz w:val="24"/>
                <w:shd w:fill="auto" w:val="clear"/>
              </w:rPr>
            </w:pPr>
            <w:r>
              <w:rPr>
                <w:rFonts w:eastAsia="Times New Roman" w:cs="Arial Unicode MS"/>
                <w:kern w:val="0"/>
                <w:sz w:val="24"/>
                <w:shd w:fill="auto" w:val="clear"/>
                <w:lang w:val="ru-RU" w:eastAsia="ru-RU" w:bidi="ar-SA"/>
              </w:rPr>
              <w:t>Общ</w:t>
            </w:r>
            <w:r>
              <w:rPr>
                <w:rFonts w:eastAsia="Times New Roman" w:cs="Arial Unicode MS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ее количество вывозимых отходов 864 кубометра в год.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Контейнеры объемом 14 кубометров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8 кубометров, являются собственностью Заказчика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Вывоз и возврат освобожденного контейнера в течение суток по заявке диспетчеру на вывоз производственных отходов или производить перегруз бака Заказчика в Пухто Исполнителя на территории Заказчика.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осуществляется посредством подписания акта оказания услуг - ежемесячно.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Акт приема-передачи отходов в 2 (двух) экземпляре на бумажном носителе. В акте приема-передачи отходов  указываются виды отходов, количество отходов, вид обращения, полигон или объект утилизации/обезвреживания отходов, который принял отход — ежемесячно/ежеквартально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производственные  отходы в объеме и в месте установки контейнеров на территории Заказчика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обеспечивать транспортирование, размещение производственных отходов в соответствии с законодательством Российской Федерации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Кроме размещения возможно передача всех отходов на обезвреживание/утилизацию организации, имеющей соответствующую лицензию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лицензии на осуществление деятельности по сбору, транспортированию, обработке, утилизации, обезвреживанию, размещению отходов III-IV классов опасности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договора с Полигоном по оказанию услуг по размещению, а также иному виду обращения с отходами.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 Исполнителя действующего договора с лицензионными/специализированными предприятиями, осуществляющими  сбор, транспортирование, обработку, утилизацию, обезвреживание, размещение отходов III-IV классов опасности (в случае привлечения сторонних организаций)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 Исполнителя в собственности или аренде мусорных контейнеров (объёмов 6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14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27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 для предоставления Заказчику под подгрузку на период времени от 3 часов до 3 суток, без взимания арендной платы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отсутствовать в реестре недобросовестных поставщиков, предусмотренном Законом 22-ФЗ, 44-ФЗ, которые размещены в ЕИС.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9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" w:eastAsia="ru-RU" w:bidi="ar-SA"/>
              </w:rPr>
              <w:t>В стоимость оказания услуг должны быть включены все затраты и расходные материалы, необходимые для выполнения услуг согласно техническому требованию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9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имеет право привлекать лицензируемые сторонние организации для вывоза отходов с предоставлением копии агентского договора/соглашения.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1" w:type="dxa"/>
            <w:tcBorders>
              <w:top w:val="nil"/>
            </w:tcBorders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4.3.</w:t>
            </w:r>
          </w:p>
        </w:tc>
        <w:tc>
          <w:tcPr>
            <w:tcW w:w="69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содержать в чистоте территорию производства работ, по окончании работ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1" w:type="dxa"/>
            <w:tcBorders/>
          </w:tcPr>
          <w:p>
            <w:pPr>
              <w:pStyle w:val="Style4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Calibri"/>
                <w:b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header="680" w:top="851" w:footer="737" w:bottom="851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1"/>
        <w:ind w:left="0" w:hanging="0"/>
        <w:jc w:val="center"/>
        <w:rPr>
          <w:b/>
          <w:b/>
          <w:i/>
          <w:i/>
          <w:sz w:val="24"/>
          <w:szCs w:val="24"/>
        </w:rPr>
      </w:pPr>
      <w:bookmarkStart w:id="27" w:name="_Toc170747483"/>
      <w:bookmarkStart w:id="28" w:name="_Toc146201151"/>
      <w:r>
        <w:rPr/>
        <w:t>Требования к документации по ценообразованию на этапе закупки</w:t>
      </w:r>
      <w:bookmarkEnd w:id="27"/>
      <w:bookmarkEnd w:id="28"/>
    </w:p>
    <w:p>
      <w:pPr>
        <w:pStyle w:val="Normal"/>
        <w:spacing w:lineRule="auto" w:line="276"/>
        <w:ind w:firstLine="709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3.1.</w:t>
        <w:tab/>
        <w:t>В обоснование стоимости своей заявки Участник должен предоставить Коммерческое предложение.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134" w:right="851" w:header="680" w:top="1134" w:footer="737" w:bottom="992" w:gutter="0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36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</w:t>
        <w:tab/>
        <w:t>Вместе с Коммерческим предложением Участник должен предоставить в составе заявки стоимостного расчета работ/услуг по форме, приведенного в Приложении № 1 к настоящим Техническим требованиям.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1"/>
        <w:rPr>
          <w:b/>
          <w:b/>
          <w:bCs/>
          <w:iCs/>
          <w:lang w:eastAsia="x-none"/>
        </w:rPr>
      </w:pPr>
      <w:bookmarkStart w:id="29" w:name="_Toc170747484"/>
      <w:bookmarkStart w:id="30" w:name="_Toc124334544"/>
      <w:r>
        <w:rPr>
          <w:b/>
          <w:bCs/>
          <w:iCs/>
          <w:lang w:val="x-none" w:eastAsia="x-none"/>
        </w:rPr>
        <w:t>Приложение №</w:t>
      </w:r>
      <w:r>
        <w:rPr>
          <w:b/>
          <w:bCs/>
          <w:iCs/>
          <w:lang w:eastAsia="x-none"/>
        </w:rPr>
        <w:t>1</w:t>
      </w:r>
      <w:r>
        <w:rPr>
          <w:b/>
          <w:bCs/>
          <w:iCs/>
          <w:lang w:val="x-none" w:eastAsia="x-none"/>
        </w:rPr>
        <w:t xml:space="preserve"> к Техническим требованиям</w:t>
      </w:r>
      <w:bookmarkEnd w:id="29"/>
      <w:bookmarkEnd w:id="30"/>
    </w:p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1"/>
        <w:rPr>
          <w:b/>
          <w:b/>
          <w:bCs/>
          <w:iCs/>
          <w:lang w:eastAsia="x-none"/>
        </w:rPr>
      </w:pPr>
      <w:r>
        <w:rPr>
          <w:b/>
          <w:bCs/>
          <w:iCs/>
          <w:lang w:eastAsia="x-none"/>
        </w:rPr>
      </w:r>
    </w:p>
    <w:p>
      <w:pPr>
        <w:pStyle w:val="Normal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Расчет объема вывоза производственных отходов</w:t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Расчет стоимости услуг</w:t>
      </w:r>
    </w:p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f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4667"/>
        <w:gridCol w:w="1546"/>
        <w:gridCol w:w="1173"/>
        <w:gridCol w:w="1778"/>
      </w:tblGrid>
      <w:tr>
        <w:trPr>
          <w:trHeight w:val="1193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 услуг</w:t>
            </w:r>
          </w:p>
        </w:tc>
        <w:tc>
          <w:tcPr>
            <w:tcW w:w="154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Цена за 1 куб. м, руб., НДС не облагается</w:t>
            </w:r>
          </w:p>
        </w:tc>
        <w:tc>
          <w:tcPr>
            <w:tcW w:w="11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Общее  кол-во, куб. м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Итого стоимость услуг, руб., НДС не облагается</w:t>
            </w:r>
          </w:p>
        </w:tc>
      </w:tr>
      <w:tr>
        <w:trPr>
          <w:trHeight w:val="419" w:hRule="atLeast"/>
        </w:trPr>
        <w:tc>
          <w:tcPr>
            <w:tcW w:w="7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6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Вывоз производственных отходов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864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35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1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ind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12"/>
        <w:rPr>
          <w:rFonts w:ascii="Calibri" w:hAnsi="Calibri" w:eastAsia="Calibri"/>
          <w:sz w:val="22"/>
          <w:szCs w:val="22"/>
          <w:lang w:eastAsia="en-US"/>
        </w:rPr>
      </w:pPr>
      <w:r>
        <w:rPr/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yle36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8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9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0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1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2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3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24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4"/>
    <w:uiPriority w:val="9"/>
    <w:qFormat/>
    <w:rsid w:val="00ea61a8"/>
    <w:pPr>
      <w:numPr>
        <w:ilvl w:val="0"/>
        <w:numId w:val="0"/>
      </w:numPr>
      <w:ind w:left="0" w:firstLine="720"/>
      <w:outlineLvl w:val="1"/>
    </w:pPr>
    <w:rPr/>
  </w:style>
  <w:style w:type="paragraph" w:styleId="3">
    <w:name w:val="Heading 3"/>
    <w:basedOn w:val="Normal"/>
    <w:next w:val="Normal"/>
    <w:link w:val="32"/>
    <w:autoRedefine/>
    <w:qFormat/>
    <w:rsid w:val="00fb61b0"/>
    <w:pPr>
      <w:keepNext w:val="true"/>
      <w:numPr>
        <w:ilvl w:val="2"/>
        <w:numId w:val="1"/>
      </w:numPr>
      <w:spacing w:before="120" w:after="60"/>
      <w:ind w:left="0" w:firstLine="72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fb61b0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2" w:customStyle="1">
    <w:name w:val="Текст сноски Знак"/>
    <w:link w:val="a8"/>
    <w:qFormat/>
    <w:rsid w:val="00d22f6d"/>
    <w:rPr/>
  </w:style>
  <w:style w:type="character" w:styleId="Style13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b/>
      <w:i/>
      <w:shd w:fill="FFFF99" w:val="clear"/>
    </w:rPr>
  </w:style>
  <w:style w:type="character" w:styleId="Style16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fb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Style21" w:customStyle="1">
    <w:name w:val="Другое_"/>
    <w:basedOn w:val="DefaultParagraphFont"/>
    <w:link w:val="affff"/>
    <w:qFormat/>
    <w:rsid w:val="00b108cd"/>
    <w:rPr/>
  </w:style>
  <w:style w:type="character" w:styleId="Style22" w:customStyle="1">
    <w:name w:val="Основной текст_"/>
    <w:basedOn w:val="DefaultParagraphFont"/>
    <w:link w:val="1d"/>
    <w:qFormat/>
    <w:rsid w:val="00b108cd"/>
    <w:rPr/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link w:val="af2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both"/>
    </w:pPr>
    <w:rPr/>
  </w:style>
  <w:style w:type="paragraph" w:styleId="Style32">
    <w:name w:val="Footnote Text"/>
    <w:basedOn w:val="Normal"/>
    <w:link w:val="a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ad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5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6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7" w:customStyle="1">
    <w:name w:val="Подпункт"/>
    <w:basedOn w:val="Normal"/>
    <w:link w:val="15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8" w:customStyle="1">
    <w:name w:val="Раздел регламента"/>
    <w:basedOn w:val="Normal"/>
    <w:qFormat/>
    <w:rsid w:val="00e228fa"/>
    <w:pPr/>
    <w:rPr/>
  </w:style>
  <w:style w:type="paragraph" w:styleId="Style3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1">
    <w:name w:val="Subtitle"/>
    <w:basedOn w:val="Normal"/>
    <w:next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numPr>
        <w:ilvl w:val="0"/>
        <w:numId w:val="0"/>
      </w:numPr>
      <w:spacing w:before="480" w:after="60"/>
      <w:ind w:left="0" w:firstLine="72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6" w:customStyle="1">
    <w:name w:val="Подподпункт"/>
    <w:basedOn w:val="Style37"/>
    <w:link w:val="afff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7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8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8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9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0">
    <w:name w:val="Endnote Text"/>
    <w:basedOn w:val="Normal"/>
    <w:link w:val="afffa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2" w:customStyle="1">
    <w:name w:val="Другое"/>
    <w:basedOn w:val="Normal"/>
    <w:link w:val="afffe"/>
    <w:qFormat/>
    <w:rsid w:val="00b108cd"/>
    <w:pPr>
      <w:widowControl w:val="false"/>
      <w:spacing w:lineRule="auto" w:line="264"/>
      <w:ind w:firstLine="400"/>
    </w:pPr>
    <w:rPr>
      <w:sz w:val="20"/>
      <w:szCs w:val="20"/>
    </w:rPr>
  </w:style>
  <w:style w:type="paragraph" w:styleId="111" w:customStyle="1">
    <w:name w:val="Основной текст1"/>
    <w:basedOn w:val="Normal"/>
    <w:link w:val="affff0"/>
    <w:qFormat/>
    <w:rsid w:val="00b108cd"/>
    <w:pPr>
      <w:widowControl w:val="false"/>
      <w:spacing w:lineRule="auto" w:line="264"/>
      <w:ind w:firstLine="400"/>
    </w:pPr>
    <w:rPr>
      <w:sz w:val="20"/>
      <w:szCs w:val="20"/>
    </w:rPr>
  </w:style>
  <w:style w:type="paragraph" w:styleId="Style53">
    <w:name w:val="Содержимое таблицы"/>
    <w:basedOn w:val="Normal"/>
    <w:qFormat/>
    <w:pPr>
      <w:widowControl w:val="false"/>
      <w:suppressLineNumbers/>
    </w:pPr>
    <w:rPr/>
  </w:style>
  <w:style w:type="paragraph" w:styleId="Style54">
    <w:name w:val="Заголовок таблицы"/>
    <w:basedOn w:val="Style5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2D86-8E20-4199-ABA4-8257B02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Application>LibreOffice/7.1.8.1$Linux_X86_64 LibreOffice_project/10$Build-1</Application>
  <AppVersion>15.0000</AppVersion>
  <Pages>10</Pages>
  <Words>1428</Words>
  <Characters>9104</Characters>
  <CharactersWithSpaces>10293</CharactersWithSpaces>
  <Paragraphs>258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2023-08-30T04:18:00Z</dcterms:created>
  <dc:creator>Быстров Олег Геннадьевич</dc:creator>
  <dc:description/>
  <dc:language>ru-RU</dc:language>
  <cp:lastModifiedBy/>
  <cp:lastPrinted>2026-04-09T14:55:51Z</cp:lastPrinted>
  <dcterms:modified xsi:type="dcterms:W3CDTF">2026-05-07T08:14:31Z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