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5.0 -->
  <w:body>
    <w:tbl>
      <w:tblPr>
        <w:tblW w:w="10343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84"/>
        <w:gridCol w:w="2850"/>
        <w:gridCol w:w="6709"/>
      </w:tblGrid>
      <w:tr w14:paraId="5E8E4EE8" w14:textId="77777777" w:rsidTr="00D85844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gridSpan w:val="3"/>
            <w:vAlign w:val="center"/>
          </w:tcPr>
          <w:p w:rsidR="00CF0F27" w:rsidRPr="00CE6DB4" w:rsidP="00CF0F27" w14:paraId="62369A02" w14:textId="77777777">
            <w:pPr>
              <w:suppressAutoHyphens/>
              <w:spacing w:before="120"/>
              <w:ind w:firstLine="709"/>
              <w:jc w:val="center"/>
              <w:rPr>
                <w:b/>
                <w:sz w:val="20"/>
                <w:szCs w:val="20"/>
              </w:rPr>
            </w:pPr>
            <w:r w:rsidRPr="00CE6DB4">
              <w:rPr>
                <w:b/>
                <w:sz w:val="20"/>
                <w:szCs w:val="20"/>
              </w:rPr>
              <w:t>Извещение и документация закупочной процедуры</w:t>
            </w:r>
          </w:p>
          <w:p w:rsidR="00CF0F27" w:rsidRPr="00CE6DB4" w:rsidP="00D06F03" w14:paraId="31171BB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14:paraId="2B595D7C" w14:textId="77777777" w:rsidTr="00420EBB">
        <w:tblPrEx>
          <w:tblW w:w="10343" w:type="dxa"/>
          <w:tblInd w:w="-567" w:type="dxa"/>
          <w:tblLook w:val="04A0"/>
        </w:tblPrEx>
        <w:trPr>
          <w:trHeight w:val="20"/>
        </w:trPr>
        <w:tc>
          <w:tcPr>
            <w:tcW w:w="0" w:type="auto"/>
            <w:vAlign w:val="center"/>
          </w:tcPr>
          <w:p w:rsidR="00420EBB" w:rsidRPr="00CE6DB4" w:rsidP="002D7FD2" w14:paraId="25AF120B" w14:textId="528B5ED5">
            <w:pPr>
              <w:spacing w:line="360" w:lineRule="auto"/>
              <w:ind w:left="104"/>
              <w:rPr>
                <w:b/>
                <w:bCs/>
                <w:sz w:val="20"/>
                <w:szCs w:val="20"/>
              </w:rPr>
            </w:pPr>
            <w:r w:rsidRPr="00CE6DB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5FCA66C" w14:textId="3A32C1B5">
            <w:pPr>
              <w:spacing w:line="288" w:lineRule="auto"/>
              <w:ind w:left="36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основных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7239EA" w14:paraId="58896E4D" w14:textId="35BA13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основных данных</w:t>
            </w:r>
          </w:p>
        </w:tc>
      </w:tr>
      <w:tr w14:paraId="3B2BE8C5" w14:textId="77777777" w:rsidTr="002D7FD2">
        <w:tblPrEx>
          <w:tblW w:w="10343" w:type="dxa"/>
          <w:tblInd w:w="-567" w:type="dxa"/>
          <w:tblLook w:val="04A0"/>
        </w:tblPrEx>
        <w:trPr>
          <w:trHeight w:val="205"/>
        </w:trPr>
        <w:tc>
          <w:tcPr>
            <w:tcW w:w="0" w:type="auto"/>
            <w:vAlign w:val="center"/>
          </w:tcPr>
          <w:p w:rsidR="00420EBB" w:rsidRPr="00CE6DB4" w:rsidP="00420EBB" w14:paraId="7A294245" w14:textId="603D6E8A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BE04236" w14:textId="1F3F3A8B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закупочной процедуры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E01E16" w:rsidP="00DE22FD" w14:paraId="0558CFE3" w14:textId="303AADB2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Поставка мотоциклов эндуро</w:t>
            </w:r>
          </w:p>
        </w:tc>
      </w:tr>
      <w:tr w14:paraId="6521D699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5D1848D" w14:textId="2FC68A1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E642BE6" w14:textId="4853E6FE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Срок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E01E16" w14:paraId="03F4E5D5" w14:textId="2058B2D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календарных дней от дня подписания договора, но не позднее «</w:t>
            </w:r>
            <w:r w:rsidR="001B1D1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» июня 2026 г.</w:t>
            </w:r>
          </w:p>
        </w:tc>
      </w:tr>
      <w:tr w14:paraId="788E9520" w14:textId="77777777" w:rsidTr="002D7FD2">
        <w:tblPrEx>
          <w:tblW w:w="10343" w:type="dxa"/>
          <w:tblInd w:w="-567" w:type="dxa"/>
          <w:tblLook w:val="04A0"/>
        </w:tblPrEx>
        <w:trPr>
          <w:trHeight w:val="237"/>
        </w:trPr>
        <w:tc>
          <w:tcPr>
            <w:tcW w:w="0" w:type="auto"/>
            <w:vAlign w:val="center"/>
          </w:tcPr>
          <w:p w:rsidR="00420EBB" w:rsidRPr="00CE6DB4" w:rsidP="00420EBB" w14:paraId="0D44EE7F" w14:textId="6EAD362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5E328A97" w14:textId="61D6ECBD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Место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53FBA8FB" w14:textId="4BEC79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E6DB4" w:rsidR="00C24138">
              <w:rPr>
                <w:sz w:val="20"/>
                <w:szCs w:val="20"/>
              </w:rPr>
              <w:t>. Санкт-Петербург</w:t>
            </w:r>
          </w:p>
        </w:tc>
      </w:tr>
      <w:tr w14:paraId="4B17B267" w14:textId="77777777" w:rsidTr="002D7FD2">
        <w:tblPrEx>
          <w:tblW w:w="10343" w:type="dxa"/>
          <w:tblInd w:w="-567" w:type="dxa"/>
          <w:tblLook w:val="04A0"/>
        </w:tblPrEx>
        <w:trPr>
          <w:trHeight w:val="871"/>
        </w:trPr>
        <w:tc>
          <w:tcPr>
            <w:tcW w:w="0" w:type="auto"/>
            <w:vAlign w:val="center"/>
          </w:tcPr>
          <w:p w:rsidR="00420EBB" w:rsidRPr="00CE6DB4" w:rsidP="00420EBB" w14:paraId="0E16B0A1" w14:textId="06044CAB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10FBD4B4" w14:textId="287E3DD4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 поставки Товара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281BBC68" w14:textId="71C3554B">
            <w:pPr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Поставка (дос</w:t>
            </w:r>
            <w:r w:rsidR="007D60F3">
              <w:rPr>
                <w:sz w:val="20"/>
                <w:szCs w:val="20"/>
              </w:rPr>
              <w:t>тавка, разгрузка</w:t>
            </w:r>
            <w:r w:rsidRPr="00CE6DB4">
              <w:rPr>
                <w:sz w:val="20"/>
                <w:szCs w:val="20"/>
              </w:rPr>
              <w:t>) осуществляется силами Поставщика и за счет его собственных средств.</w:t>
            </w:r>
          </w:p>
        </w:tc>
      </w:tr>
      <w:tr w14:paraId="5A9A94C4" w14:textId="77777777" w:rsidTr="002D7FD2">
        <w:tblPrEx>
          <w:tblW w:w="10343" w:type="dxa"/>
          <w:tblInd w:w="-567" w:type="dxa"/>
          <w:tblLook w:val="04A0"/>
        </w:tblPrEx>
        <w:trPr>
          <w:trHeight w:val="16"/>
        </w:trPr>
        <w:tc>
          <w:tcPr>
            <w:tcW w:w="0" w:type="auto"/>
            <w:vAlign w:val="center"/>
          </w:tcPr>
          <w:p w:rsidR="00420EBB" w:rsidRPr="00CE6DB4" w:rsidP="00420EBB" w14:paraId="1164ECB8" w14:textId="6DFDFA6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67240457" w14:textId="64335F1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6BC75F29" w14:textId="65F4022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с ограниченной о</w:t>
            </w:r>
            <w:r w:rsidRPr="00CE6DB4">
              <w:rPr>
                <w:sz w:val="20"/>
                <w:szCs w:val="20"/>
              </w:rPr>
              <w:t>тветственностью</w:t>
            </w:r>
            <w:r w:rsidRPr="00CE6DB4" w:rsidR="00CE6DB4">
              <w:rPr>
                <w:sz w:val="20"/>
                <w:szCs w:val="20"/>
              </w:rPr>
              <w:t xml:space="preserve"> "</w:t>
            </w:r>
            <w:r w:rsidRPr="00CE6DB4">
              <w:rPr>
                <w:sz w:val="20"/>
                <w:szCs w:val="20"/>
              </w:rPr>
              <w:t xml:space="preserve">Невская </w:t>
            </w:r>
            <w:r w:rsidRPr="00CE6DB4">
              <w:rPr>
                <w:sz w:val="20"/>
                <w:szCs w:val="20"/>
              </w:rPr>
              <w:t>Практика</w:t>
            </w:r>
            <w:r w:rsidRPr="00CE6DB4" w:rsidR="00CE6DB4">
              <w:rPr>
                <w:sz w:val="20"/>
                <w:szCs w:val="20"/>
              </w:rPr>
              <w:t>"</w:t>
            </w:r>
          </w:p>
        </w:tc>
      </w:tr>
      <w:tr w14:paraId="427EA1AA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420EBB" w:rsidRPr="00CE6DB4" w:rsidP="00420EBB" w14:paraId="3571C91A" w14:textId="437B7FA2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749FA31" w14:textId="1F91A0FA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13D5" w:rsidRPr="00CE6DB4" w:rsidP="007A5E75" w14:paraId="6C102594" w14:textId="5F2B159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эндуро для взрослых</w:t>
            </w:r>
          </w:p>
        </w:tc>
      </w:tr>
      <w:tr w14:paraId="3857FBB4" w14:textId="77777777" w:rsidTr="002D7FD2">
        <w:tblPrEx>
          <w:tblW w:w="10343" w:type="dxa"/>
          <w:tblInd w:w="-567" w:type="dxa"/>
          <w:tblLook w:val="04A0"/>
        </w:tblPrEx>
        <w:trPr>
          <w:trHeight w:val="710"/>
        </w:trPr>
        <w:tc>
          <w:tcPr>
            <w:tcW w:w="0" w:type="auto"/>
            <w:vAlign w:val="center"/>
          </w:tcPr>
          <w:p w:rsidR="00667D58" w:rsidRPr="00CE6DB4" w:rsidP="00420EBB" w14:paraId="796568B6" w14:textId="5784ABA4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67D58" w:rsidP="002D7FD2" w14:paraId="426F004F" w14:textId="13BCFAEC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ответственного лица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313D5" w:rsidRPr="00B313D5" w:rsidP="00B313D5" w14:paraId="47D5FCB4" w14:textId="77777777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</w:rPr>
              <w:t>Киселева Милана Александровна</w:t>
            </w:r>
          </w:p>
          <w:p w:rsidR="00B313D5" w:rsidRPr="00B313D5" w:rsidP="00B313D5" w14:paraId="774C70E9" w14:textId="77777777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</w:rPr>
              <w:t xml:space="preserve">Тел: </w:t>
            </w:r>
            <w:bookmarkStart w:id="0" w:name="_GoBack"/>
            <w:r w:rsidRPr="00B313D5">
              <w:rPr>
                <w:sz w:val="20"/>
                <w:szCs w:val="20"/>
              </w:rPr>
              <w:t>+7 (968) 247-42-84</w:t>
            </w:r>
          </w:p>
          <w:bookmarkEnd w:id="0"/>
          <w:p w:rsidR="00667D58" w:rsidRPr="00DE22FD" w:rsidP="00B313D5" w14:paraId="376BA9A5" w14:textId="4A948D96">
            <w:pPr>
              <w:jc w:val="both"/>
              <w:rPr>
                <w:sz w:val="20"/>
                <w:szCs w:val="20"/>
              </w:rPr>
            </w:pPr>
            <w:r w:rsidRPr="00B313D5">
              <w:rPr>
                <w:sz w:val="20"/>
                <w:szCs w:val="20"/>
                <w:lang w:val="en-US"/>
              </w:rPr>
              <w:t>E</w:t>
            </w:r>
            <w:r w:rsidRPr="00DE22FD">
              <w:rPr>
                <w:sz w:val="20"/>
                <w:szCs w:val="20"/>
              </w:rPr>
              <w:t>-</w:t>
            </w:r>
            <w:r w:rsidRPr="00B313D5">
              <w:rPr>
                <w:sz w:val="20"/>
                <w:szCs w:val="20"/>
                <w:lang w:val="en-US"/>
              </w:rPr>
              <w:t>mail</w:t>
            </w:r>
            <w:r w:rsidRPr="00DE22FD">
              <w:rPr>
                <w:sz w:val="20"/>
                <w:szCs w:val="20"/>
              </w:rPr>
              <w:t xml:space="preserve">: </w:t>
            </w:r>
            <w:r w:rsidRPr="00B313D5">
              <w:rPr>
                <w:sz w:val="20"/>
                <w:szCs w:val="20"/>
                <w:lang w:val="en-US"/>
              </w:rPr>
              <w:t>kiseleva</w:t>
            </w:r>
            <w:r w:rsidRPr="00DE22FD">
              <w:rPr>
                <w:sz w:val="20"/>
                <w:szCs w:val="20"/>
              </w:rPr>
              <w:t>.</w:t>
            </w:r>
            <w:r w:rsidRPr="00B313D5">
              <w:rPr>
                <w:sz w:val="20"/>
                <w:szCs w:val="20"/>
                <w:lang w:val="en-US"/>
              </w:rPr>
              <w:t>v</w:t>
            </w:r>
            <w:r w:rsidRPr="00DE22FD">
              <w:rPr>
                <w:sz w:val="20"/>
                <w:szCs w:val="20"/>
              </w:rPr>
              <w:t>@</w:t>
            </w:r>
            <w:r w:rsidRPr="00B313D5">
              <w:rPr>
                <w:sz w:val="20"/>
                <w:szCs w:val="20"/>
                <w:lang w:val="en-US"/>
              </w:rPr>
              <w:t>upakovkacentr</w:t>
            </w:r>
            <w:r w:rsidRPr="00DE22FD">
              <w:rPr>
                <w:sz w:val="20"/>
                <w:szCs w:val="20"/>
              </w:rPr>
              <w:t>.</w:t>
            </w:r>
            <w:r w:rsidRPr="00B313D5">
              <w:rPr>
                <w:sz w:val="20"/>
                <w:szCs w:val="20"/>
                <w:lang w:val="en-US"/>
              </w:rPr>
              <w:t>ru</w:t>
            </w:r>
          </w:p>
        </w:tc>
      </w:tr>
      <w:tr w14:paraId="47C9C0D2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5C14CCC0" w14:textId="44BFB15F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F0CDD30" w14:textId="693CC9C0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качеству: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7B8E3986" w14:textId="3CB96F28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Качество и технические характеристики </w:t>
            </w:r>
            <w:r w:rsidRPr="00CE6DB4">
              <w:rPr>
                <w:sz w:val="20"/>
                <w:szCs w:val="20"/>
              </w:rPr>
              <w:t>предполагаемого к поставке Товара должны соответствовать тр</w:t>
            </w:r>
            <w:r w:rsidR="007D60F3">
              <w:rPr>
                <w:sz w:val="20"/>
                <w:szCs w:val="20"/>
              </w:rPr>
              <w:t>ебованиям настоящего Технического задания</w:t>
            </w:r>
            <w:r w:rsidRPr="00CE6DB4">
              <w:rPr>
                <w:sz w:val="20"/>
                <w:szCs w:val="20"/>
              </w:rPr>
              <w:t>. Для подтверждения соответствия участником размещения заказа могут быть представлены на рассмотрение комиссии соответствующие копии сертификатов соответств</w:t>
            </w:r>
            <w:r w:rsidRPr="00CE6DB4">
              <w:rPr>
                <w:sz w:val="20"/>
                <w:szCs w:val="20"/>
              </w:rPr>
              <w:t xml:space="preserve">ия. </w:t>
            </w:r>
          </w:p>
          <w:p w:rsidR="00420EBB" w:rsidRPr="00CE6DB4" w:rsidP="00CE6DB4" w14:paraId="1A41C7A3" w14:textId="654AE685">
            <w:pPr>
              <w:pStyle w:val="ListParagraph"/>
              <w:snapToGri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Весь Товар должен </w:t>
            </w:r>
            <w:r w:rsidR="00B26F79">
              <w:rPr>
                <w:sz w:val="20"/>
                <w:szCs w:val="20"/>
              </w:rPr>
              <w:t xml:space="preserve">быть новым, </w:t>
            </w:r>
            <w:r w:rsidRPr="00CE6DB4">
              <w:rPr>
                <w:sz w:val="20"/>
                <w:szCs w:val="20"/>
              </w:rPr>
              <w:t>не бывшими в эксплуатации, не восстановленными и не собранными из восстановленных компонентов и серийными.</w:t>
            </w:r>
          </w:p>
          <w:p w:rsidR="00420EBB" w:rsidRPr="00CE6DB4" w:rsidP="00CE6DB4" w14:paraId="689478BA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На продукции не должно быть следов механических повреждений, а также иных несоответствий официальному техническому</w:t>
            </w:r>
            <w:r w:rsidRPr="00CE6DB4">
              <w:rPr>
                <w:sz w:val="20"/>
                <w:szCs w:val="20"/>
              </w:rPr>
              <w:t xml:space="preserve"> описанию поставляемой продукции.</w:t>
            </w:r>
          </w:p>
          <w:p w:rsidR="00C1188C" w:rsidRPr="00CE6DB4" w:rsidP="00CE6DB4" w14:paraId="22E86079" w14:textId="5A18BDCF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па поставляемую про</w:t>
            </w:r>
            <w:r w:rsidRPr="00CE6DB4">
              <w:rPr>
                <w:sz w:val="20"/>
                <w:szCs w:val="20"/>
              </w:rPr>
              <w:t>дукцию, разрешающих использование поставляемой продукции на территории Российской Федерации.</w:t>
            </w:r>
          </w:p>
        </w:tc>
      </w:tr>
      <w:tr w14:paraId="5CED0790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A3F7D5" w14:textId="069E19CE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21F72157" w14:textId="24FFC136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сроку и объему предоставления гарантий качества Товара. Гарантийное обслуживание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06A91D98" w14:textId="6877A74D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Товар должен быть пригодным для использования по назначению (срок</w:t>
            </w:r>
            <w:r w:rsidRPr="00CE6DB4">
              <w:rPr>
                <w:sz w:val="20"/>
                <w:szCs w:val="20"/>
              </w:rPr>
              <w:t xml:space="preserve"> службы) в течение не менее 3 (трех) лет с момента передачи товара Заказчику.</w:t>
            </w:r>
            <w:r w:rsidRPr="00CE6DB4">
              <w:rPr>
                <w:spacing w:val="3"/>
                <w:sz w:val="20"/>
                <w:szCs w:val="20"/>
              </w:rPr>
              <w:t xml:space="preserve"> </w:t>
            </w:r>
          </w:p>
          <w:p w:rsidR="00420EBB" w:rsidRPr="00CE6DB4" w:rsidP="00CE6DB4" w14:paraId="20E0F769" w14:textId="6C9A06D3">
            <w:pPr>
              <w:autoSpaceDE w:val="0"/>
              <w:autoSpaceDN w:val="0"/>
              <w:adjustRightInd w:val="0"/>
              <w:jc w:val="both"/>
              <w:rPr>
                <w:spacing w:val="3"/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Гарантия производителя – не менее </w:t>
            </w:r>
            <w:r w:rsidRPr="00CE6DB4" w:rsidR="008D449A">
              <w:rPr>
                <w:sz w:val="20"/>
                <w:szCs w:val="20"/>
              </w:rPr>
              <w:t>12</w:t>
            </w:r>
            <w:r w:rsidRPr="00CE6DB4">
              <w:rPr>
                <w:sz w:val="20"/>
                <w:szCs w:val="20"/>
              </w:rPr>
              <w:t xml:space="preserve"> месяцев.</w:t>
            </w:r>
          </w:p>
          <w:p w:rsidR="00420EBB" w:rsidRPr="00CE6DB4" w:rsidP="00CE6DB4" w14:paraId="71802A8B" w14:textId="77777777">
            <w:pPr>
              <w:snapToGrid w:val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В случае замены некачественного Товара, гарантийный срок Товара продлевается на количество времени, затраченное на замену Товара.</w:t>
            </w:r>
          </w:p>
        </w:tc>
      </w:tr>
      <w:tr w14:paraId="481F78FD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028A5CC3" w14:textId="02F5FC53">
            <w:pPr>
              <w:spacing w:line="288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0C47FCE7" w14:textId="2B4D3971">
            <w:pPr>
              <w:spacing w:line="288" w:lineRule="auto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Условия</w:t>
            </w:r>
            <w:r w:rsidRPr="00CE6DB4" w:rsidR="002D7FD2">
              <w:rPr>
                <w:sz w:val="20"/>
                <w:szCs w:val="20"/>
              </w:rPr>
              <w:t xml:space="preserve"> </w:t>
            </w:r>
            <w:r w:rsidR="00CE6DB4">
              <w:rPr>
                <w:sz w:val="20"/>
                <w:szCs w:val="20"/>
              </w:rPr>
              <w:t>оплаты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22483B81" w14:textId="10EEE6AE">
            <w:pPr>
              <w:pStyle w:val="2-"/>
              <w:numPr>
                <w:ilvl w:val="0"/>
                <w:numId w:val="0"/>
              </w:numPr>
              <w:spacing w:before="0" w:after="0"/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</w:pPr>
            <w:r w:rsidRPr="00CE6DB4">
              <w:rPr>
                <w:sz w:val="20"/>
                <w:szCs w:val="20"/>
              </w:rPr>
              <w:t xml:space="preserve">Оплата производится на основании оригинала </w:t>
            </w:r>
            <w:r w:rsidRP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документа (либо УПД) и Счёта на оплату в течение 20 календарных дней со дня подписания </w:t>
            </w:r>
            <w:r w:rsidRPr="00CE6DB4" w:rsidR="00CE6DB4">
              <w:rPr>
                <w:sz w:val="20"/>
                <w:szCs w:val="20"/>
              </w:rPr>
              <w:t xml:space="preserve">оригинала </w:t>
            </w:r>
            <w:r w:rsidRPr="00CE6DB4"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 xml:space="preserve">передаточного </w:t>
            </w:r>
            <w:r w:rsidR="00CE6DB4">
              <w:rPr>
                <w:rFonts w:eastAsia="Times New Roman" w:cstheme="minorBidi"/>
                <w:bCs w:val="0"/>
                <w:sz w:val="20"/>
                <w:szCs w:val="20"/>
                <w:lang w:eastAsia="ru-RU"/>
              </w:rPr>
              <w:t>документа (либо УПД).</w:t>
            </w:r>
          </w:p>
        </w:tc>
      </w:tr>
      <w:tr w14:paraId="7B3E1FB6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7CE99614" w14:textId="21767BDA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CE6DB4" w:rsidR="003865ED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2D7FD2" w14:paraId="7A71536E" w14:textId="111565A8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безопасности.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CE6DB4" w14:paraId="689A94C6" w14:textId="38144E65">
            <w:pPr>
              <w:pStyle w:val="ListParagraph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Товар должен </w:t>
            </w:r>
            <w:r w:rsidRPr="00CE6DB4">
              <w:rPr>
                <w:sz w:val="20"/>
                <w:szCs w:val="20"/>
              </w:rPr>
              <w:t>быть безопасен для жизни и здоровья сотрудников Заказчика, его имущества и окружающей среды при обычных условиях его использования, хранения, транспортировки и утилизации.</w:t>
            </w:r>
          </w:p>
          <w:p w:rsidR="00420EBB" w:rsidRPr="00CE6DB4" w:rsidP="00CE6DB4" w14:paraId="0D4A6CD7" w14:textId="1FDC9129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 Поставщик вправе при поставке Товара предоставить справочный лист о безопасности пр</w:t>
            </w:r>
            <w:r w:rsidRPr="00CE6DB4">
              <w:rPr>
                <w:sz w:val="20"/>
                <w:szCs w:val="20"/>
              </w:rPr>
              <w:t>одукта, а также заверенные копии сертификатов соответствия.</w:t>
            </w:r>
          </w:p>
        </w:tc>
      </w:tr>
      <w:tr w14:paraId="2C4EE08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420EBB" w:rsidRPr="00CE6DB4" w:rsidP="00420EBB" w14:paraId="3DDC79B9" w14:textId="3F5378A4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E6DB4" w:rsidR="003865ED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86153" w:rsidRPr="00CE6DB4" w:rsidP="00D86153" w14:paraId="59A46DED" w14:textId="7F796D61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</w:t>
            </w:r>
            <w:r w:rsidRPr="00CE6DB4" w:rsidR="00420EBB">
              <w:rPr>
                <w:sz w:val="20"/>
                <w:szCs w:val="20"/>
              </w:rPr>
              <w:t xml:space="preserve">ребования к упаковке и </w:t>
            </w:r>
            <w:r w:rsidRPr="00CE6DB4" w:rsidR="00420EBB">
              <w:rPr>
                <w:sz w:val="20"/>
                <w:szCs w:val="20"/>
              </w:rPr>
              <w:t>отгрузке Товара. Порядок приемки.</w:t>
            </w:r>
          </w:p>
          <w:p w:rsidR="00D86153" w:rsidRPr="00CE6DB4" w:rsidP="00D86153" w14:paraId="47A3D300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75F42F98" w14:textId="77777777">
            <w:pPr>
              <w:rPr>
                <w:sz w:val="20"/>
                <w:szCs w:val="20"/>
              </w:rPr>
            </w:pPr>
          </w:p>
          <w:p w:rsidR="00D86153" w:rsidRPr="00CE6DB4" w:rsidP="00D86153" w14:paraId="19537E62" w14:textId="72E27D7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20EBB" w:rsidRPr="00CE6DB4" w:rsidP="00D06F03" w14:paraId="3324336B" w14:textId="273989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Товар должен отгружаться в упаковке, соответствующей характеру </w:t>
            </w:r>
            <w:r w:rsidRPr="00CE6DB4">
              <w:rPr>
                <w:rFonts w:cstheme="minorBidi"/>
                <w:bCs/>
                <w:sz w:val="20"/>
                <w:szCs w:val="20"/>
              </w:rPr>
              <w:t xml:space="preserve">поставляемого Товара и способу транспортировки. Упаковка должна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предохранять груз от всякого рода повреждений, утраты товарного вида.</w:t>
            </w:r>
          </w:p>
          <w:p w:rsidR="00420EBB" w:rsidRPr="00CE6DB4" w:rsidP="00D06F03" w14:paraId="0ED56418" w14:textId="62A6B1E4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Приемка Товара осуществляется в следующем порядке:</w:t>
            </w:r>
          </w:p>
          <w:p w:rsidR="00420EBB" w:rsidRPr="00CE6DB4" w:rsidP="00D06F03" w14:paraId="2B6DA67D" w14:textId="48314AC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>- П</w:t>
            </w:r>
            <w:r w:rsidRPr="00CE6DB4">
              <w:rPr>
                <w:rFonts w:cstheme="minorBidi"/>
                <w:bCs/>
                <w:sz w:val="20"/>
                <w:szCs w:val="20"/>
              </w:rPr>
              <w:t>ередача товара Заказчику осуществляется в присутствии уполномоченного представителя Поставщика;</w:t>
            </w:r>
          </w:p>
          <w:p w:rsidR="00420EBB" w:rsidRPr="00CE6DB4" w:rsidP="00D06F03" w14:paraId="2898E4F9" w14:textId="04A5EA6A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>
              <w:rPr>
                <w:rFonts w:cstheme="minorBidi"/>
                <w:bCs/>
                <w:sz w:val="20"/>
                <w:szCs w:val="20"/>
              </w:rPr>
              <w:t xml:space="preserve">- </w:t>
            </w:r>
            <w:r w:rsidRPr="00CE6DB4">
              <w:rPr>
                <w:rFonts w:cstheme="minorBidi"/>
                <w:bCs/>
                <w:sz w:val="20"/>
                <w:szCs w:val="20"/>
              </w:rPr>
              <w:t>Заказчик в присутствии уполномочен</w:t>
            </w:r>
            <w:r w:rsidRPr="00CE6DB4">
              <w:rPr>
                <w:rFonts w:cstheme="minorBidi"/>
                <w:bCs/>
                <w:sz w:val="20"/>
                <w:szCs w:val="20"/>
              </w:rPr>
              <w:t>ного представителя Поставщика осуществляет приемку товара, при этом осматривает и проверяет товар на соответствие требованиям настоящего Технического задания о наименовании, количестве, характеристиках и упаковке.</w:t>
            </w:r>
          </w:p>
          <w:p w:rsidR="00420EBB" w:rsidRPr="00CE6DB4" w:rsidP="00D06F03" w14:paraId="0C94FCF3" w14:textId="374CFD2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Претензии по качеству в связи с обнаружени</w:t>
            </w:r>
            <w:r w:rsidRPr="00CE6DB4">
              <w:rPr>
                <w:rFonts w:cstheme="minorBidi"/>
                <w:bCs/>
                <w:sz w:val="20"/>
                <w:szCs w:val="20"/>
              </w:rPr>
              <w:t>ем скрытых недостатков товара Заказчик вправе предъявить в течение установленного Договором срока.</w:t>
            </w:r>
          </w:p>
          <w:p w:rsidR="00420EBB" w:rsidRPr="00CE6DB4" w:rsidP="00D06F03" w14:paraId="4AB8BD9C" w14:textId="6642F1F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Заказчик вправе не принимать и не оплачивать Товар, поставка которого осуществлена в нарушение установленного порядка.</w:t>
            </w:r>
          </w:p>
        </w:tc>
      </w:tr>
      <w:tr w14:paraId="04DCDB4F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344DF7" w:rsidRPr="00CE6DB4" w:rsidP="00420EBB" w14:paraId="7CD1FDD0" w14:textId="6646C891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D86153" w14:paraId="1F031597" w14:textId="1C836ACD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Требования к участнику: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44DF7" w:rsidRPr="00CE6DB4" w:rsidP="00344DF7" w14:paraId="488DC4CE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 xml:space="preserve">- Полное соответствие техническим требованиям; </w:t>
            </w:r>
          </w:p>
          <w:p w:rsidR="00344DF7" w:rsidRPr="00CE6DB4" w:rsidP="00344DF7" w14:paraId="01C3DCA6" w14:textId="12A3BE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Минимальная стоимость (в рублях РФ, с НДС);</w:t>
            </w:r>
          </w:p>
          <w:p w:rsidR="00344DF7" w:rsidRPr="00CE6DB4" w:rsidP="00344DF7" w14:paraId="51F46D33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Готовность заключения договора по форме Заказчика;</w:t>
            </w:r>
          </w:p>
          <w:p w:rsidR="00344DF7" w:rsidRPr="00CE6DB4" w:rsidP="00344DF7" w14:paraId="14B0263B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 Наличие РУ, сертификатов, деклараций соответствия;</w:t>
            </w:r>
          </w:p>
          <w:p w:rsidR="001824C6" w:rsidRPr="00CE6DB4" w:rsidP="001824C6" w14:paraId="25D28B7D" w14:textId="4204E845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возбужденных уголовных дел и неснятых судимо</w:t>
            </w:r>
            <w:r w:rsidRPr="00CE6DB4">
              <w:rPr>
                <w:rFonts w:cstheme="minorBidi"/>
                <w:bCs/>
                <w:sz w:val="20"/>
                <w:szCs w:val="20"/>
              </w:rPr>
              <w:t>стей в отношении руководителей и 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выполненных обязательств перед третьими лицами.</w:t>
            </w:r>
          </w:p>
          <w:p w:rsidR="001824C6" w:rsidRPr="00CE6DB4" w:rsidP="001824C6" w14:paraId="193E07D0" w14:textId="7E1D49EB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собственного актуального сайта в Интернете.</w:t>
            </w:r>
          </w:p>
          <w:p w:rsidR="001824C6" w:rsidRPr="00CE6DB4" w:rsidP="001824C6" w14:paraId="7BBE8263" w14:textId="3C3EA166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лицензий/сертификатов/допусков, необходимых для осуществления поставок средств защиты информации.</w:t>
            </w:r>
          </w:p>
          <w:p w:rsidR="001824C6" w:rsidRPr="00CE6DB4" w:rsidP="001824C6" w14:paraId="569D0946" w14:textId="47B1261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-Наличие дей</w:t>
            </w:r>
            <w:r w:rsidRPr="00CE6DB4">
              <w:rPr>
                <w:rFonts w:cstheme="minorBidi"/>
                <w:bCs/>
                <w:sz w:val="20"/>
                <w:szCs w:val="20"/>
              </w:rPr>
              <w:t>ствующего статуса партнера вендора (авторизация) для поставляемых средств защиты информации.</w:t>
            </w:r>
          </w:p>
          <w:p w:rsidR="001824C6" w:rsidRPr="00CE6DB4" w:rsidP="001824C6" w14:paraId="69A093C6" w14:textId="66165FA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-Предоставление персонального менеджера, имеющего опыт работы с крупными компаниями, для решения оперативных вопросов в рамках предоставляемых услуг в течение всег</w:t>
            </w:r>
            <w:r w:rsidRPr="00CE6DB4">
              <w:rPr>
                <w:rFonts w:cstheme="minorBidi"/>
                <w:bCs/>
                <w:sz w:val="20"/>
                <w:szCs w:val="20"/>
              </w:rPr>
              <w:t>о рабочего времени (с 9:00 до 18:00) и контролирующего качество оказания услуг</w:t>
            </w:r>
          </w:p>
          <w:p w:rsidR="001824C6" w:rsidRPr="00CE6DB4" w:rsidP="001824C6" w14:paraId="4CC2A660" w14:textId="7B27F42C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-Отсутствие процесса ликвидации Участника - юридического лица и решения Арбитражного суда о признании Участника - юридического лица банкротом и об открытии конкурсного производс</w:t>
            </w:r>
            <w:r w:rsidRPr="00CE6DB4">
              <w:rPr>
                <w:rFonts w:cstheme="minorBidi"/>
                <w:bCs/>
                <w:sz w:val="20"/>
                <w:szCs w:val="20"/>
              </w:rPr>
              <w:t>тва.</w:t>
            </w:r>
          </w:p>
          <w:p w:rsidR="001824C6" w:rsidRPr="00CE6DB4" w:rsidP="001824C6" w14:paraId="6275A072" w14:textId="7F5B2138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-Не</w:t>
            </w:r>
            <w:r w:rsidRPr="00CE6DB4" w:rsidR="00CD3D8C">
              <w:rPr>
                <w:rFonts w:cstheme="minorBidi"/>
                <w:bCs/>
                <w:sz w:val="20"/>
                <w:szCs w:val="20"/>
              </w:rPr>
              <w:t xml:space="preserve"> </w:t>
            </w:r>
            <w:r w:rsidRPr="00CE6DB4">
              <w:rPr>
                <w:rFonts w:cstheme="minorBidi"/>
                <w:bCs/>
                <w:sz w:val="20"/>
                <w:szCs w:val="20"/>
              </w:rPr>
              <w:t>приостановление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запросе предложений.</w:t>
            </w:r>
          </w:p>
          <w:p w:rsidR="001824C6" w:rsidRPr="00CE6DB4" w:rsidP="001824C6" w14:paraId="559911A6" w14:textId="1CC610F2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-Сведения об Участнике должны отсутствовать в реестрах нед</w:t>
            </w:r>
            <w:r w:rsidRPr="00CE6DB4">
              <w:rPr>
                <w:rFonts w:cstheme="minorBidi"/>
                <w:bCs/>
                <w:sz w:val="20"/>
                <w:szCs w:val="20"/>
              </w:rPr>
              <w:t>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Федерации.</w:t>
            </w:r>
          </w:p>
          <w:p w:rsidR="001824C6" w:rsidRPr="00CE6DB4" w:rsidP="001824C6" w14:paraId="5460139A" w14:textId="242439B1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  <w:r w:rsidRPr="00CE6DB4">
              <w:rPr>
                <w:rFonts w:cstheme="minorBidi"/>
                <w:bCs/>
                <w:sz w:val="20"/>
                <w:szCs w:val="20"/>
              </w:rPr>
              <w:t>-Участники должны иметь соответствующие производственные мощности, технологическое оборудование, фи</w:t>
            </w:r>
            <w:r w:rsidRPr="00CE6DB4">
              <w:rPr>
                <w:rFonts w:cstheme="minorBidi"/>
                <w:bCs/>
                <w:sz w:val="20"/>
                <w:szCs w:val="20"/>
              </w:rPr>
              <w:t>нансовые и трудовые ресурсы, обладать профессиональной компетентностью для производства (поставки) товаров (выполнения работ, оказания услуг), являющихся предметом закупки.</w:t>
            </w:r>
          </w:p>
        </w:tc>
      </w:tr>
      <w:tr w14:paraId="6A3C2DB4" w14:textId="77777777" w:rsidTr="002D7FD2">
        <w:tblPrEx>
          <w:tblW w:w="10343" w:type="dxa"/>
          <w:tblInd w:w="-567" w:type="dxa"/>
          <w:tblLook w:val="04A0"/>
        </w:tblPrEx>
        <w:tc>
          <w:tcPr>
            <w:tcW w:w="0" w:type="auto"/>
            <w:vAlign w:val="center"/>
          </w:tcPr>
          <w:p w:rsidR="00254DBC" w:rsidRPr="00CE6DB4" w:rsidP="00420EBB" w14:paraId="55831AD1" w14:textId="62DD31BD">
            <w:pPr>
              <w:pStyle w:val="ListParagraph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D86153" w14:paraId="21A8A4A9" w14:textId="6C2F3CBF">
            <w:pPr>
              <w:pStyle w:val="ListParagraph"/>
              <w:ind w:left="360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54DBC" w:rsidRPr="00CE6DB4" w:rsidP="00CE6DB4" w14:paraId="3536077E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Требования (условия) настоящего Технического задания являются </w:t>
            </w:r>
            <w:r w:rsidRPr="00CE6DB4">
              <w:rPr>
                <w:sz w:val="20"/>
                <w:szCs w:val="20"/>
              </w:rPr>
              <w:t>обязательными; несоответствие одному из изложенных требований (условий) является основанием для отказа в дальнейшем рассмотрении заявки/предложения Участника.</w:t>
            </w:r>
          </w:p>
          <w:p w:rsidR="00254DBC" w:rsidRPr="00CE6DB4" w:rsidP="007D60F3" w14:paraId="74CA2A36" w14:textId="77777777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>Заказчик оставляет за собой право отказаться от рассмотрения той или иной заявки/предложения Учас</w:t>
            </w:r>
            <w:r w:rsidRPr="00CE6DB4">
              <w:rPr>
                <w:sz w:val="20"/>
                <w:szCs w:val="20"/>
              </w:rPr>
              <w:t>тника в любое время и без объяснения причин такого отказа.</w:t>
            </w:r>
          </w:p>
          <w:p w:rsidR="00254DBC" w:rsidRPr="00CE6DB4" w:rsidP="007D60F3" w14:paraId="0AC257BA" w14:textId="20D7E33C">
            <w:pPr>
              <w:pStyle w:val="ListParagraph"/>
              <w:ind w:left="0"/>
              <w:jc w:val="both"/>
              <w:rPr>
                <w:sz w:val="20"/>
                <w:szCs w:val="20"/>
              </w:rPr>
            </w:pPr>
            <w:r w:rsidRPr="00CE6DB4">
              <w:rPr>
                <w:sz w:val="20"/>
                <w:szCs w:val="20"/>
              </w:rPr>
              <w:t xml:space="preserve">Оценка заявок/предложений Участников, допущенных Заказчиком к рассмотрению, производится по совокупной стоимости предложения, срокам поставки и условиям </w:t>
            </w:r>
            <w:r w:rsidR="007D60F3">
              <w:rPr>
                <w:sz w:val="20"/>
                <w:szCs w:val="20"/>
              </w:rPr>
              <w:t>оплаты.</w:t>
            </w:r>
          </w:p>
          <w:p w:rsidR="00254DBC" w:rsidRPr="00CE6DB4" w:rsidP="00176F27" w14:paraId="5DC1ADFA" w14:textId="77777777">
            <w:pPr>
              <w:jc w:val="both"/>
              <w:rPr>
                <w:rFonts w:cstheme="minorBidi"/>
                <w:bCs/>
                <w:sz w:val="20"/>
                <w:szCs w:val="20"/>
              </w:rPr>
            </w:pPr>
          </w:p>
        </w:tc>
      </w:tr>
    </w:tbl>
    <w:p w:rsidR="00D06F03" w:rsidRPr="00CE6DB4" w:rsidP="002D7FD2" w14:paraId="68E92BFF" w14:textId="77777777">
      <w:pPr>
        <w:ind w:left="142"/>
        <w:rPr>
          <w:sz w:val="20"/>
          <w:szCs w:val="20"/>
        </w:rPr>
      </w:pPr>
    </w:p>
    <w:p w:rsidR="003B054F" w:rsidRPr="00CE6DB4" w:rsidP="003B054F" w14:paraId="1257AA92" w14:textId="77777777">
      <w:pPr>
        <w:ind w:left="7788" w:firstLine="708"/>
        <w:jc w:val="center"/>
        <w:rPr>
          <w:b/>
          <w:sz w:val="20"/>
          <w:szCs w:val="20"/>
        </w:rPr>
      </w:pPr>
    </w:p>
    <w:p w:rsidR="003B054F" w:rsidRPr="00CE6DB4" w:rsidP="003B054F" w14:paraId="48376CB2" w14:textId="77777777">
      <w:pPr>
        <w:ind w:left="7788" w:firstLine="708"/>
        <w:jc w:val="center"/>
        <w:rPr>
          <w:b/>
          <w:sz w:val="20"/>
          <w:szCs w:val="20"/>
        </w:rPr>
      </w:pPr>
    </w:p>
    <w:p w:rsidR="00E1685B" w:rsidRPr="00CE6DB4" w:rsidP="003B054F" w14:paraId="75CA11AF" w14:textId="77777777">
      <w:pPr>
        <w:ind w:left="7788" w:firstLine="708"/>
        <w:jc w:val="center"/>
        <w:rPr>
          <w:b/>
          <w:sz w:val="20"/>
          <w:szCs w:val="20"/>
        </w:rPr>
      </w:pPr>
    </w:p>
    <w:p w:rsidR="005C343E" w:rsidRPr="00CE6DB4" w:rsidP="003E6DD8" w14:paraId="11D32B44" w14:textId="77777777">
      <w:pPr>
        <w:ind w:left="6237"/>
        <w:jc w:val="right"/>
        <w:rPr>
          <w:b/>
          <w:sz w:val="20"/>
          <w:szCs w:val="20"/>
        </w:rPr>
      </w:pPr>
    </w:p>
    <w:p w:rsidR="005C343E" w:rsidRPr="00CE6DB4" w:rsidP="007D60F3" w14:paraId="636652C4" w14:textId="77777777">
      <w:pPr>
        <w:rPr>
          <w:b/>
          <w:sz w:val="20"/>
          <w:szCs w:val="20"/>
        </w:rPr>
      </w:pPr>
    </w:p>
    <w:sectPr w:rsidSect="00FB51AC">
      <w:footerReference w:type="default" r:id="rId5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29578721"/>
      <w:docPartObj>
        <w:docPartGallery w:val="Page Numbers (Bottom of Page)"/>
        <w:docPartUnique/>
      </w:docPartObj>
    </w:sdtPr>
    <w:sdtContent>
      <w:p w:rsidR="00491153" w14:paraId="06BF7472" w14:textId="4C849C9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D17">
          <w:rPr>
            <w:noProof/>
          </w:rPr>
          <w:t>1</w:t>
        </w:r>
        <w:r>
          <w:fldChar w:fldCharType="end"/>
        </w:r>
      </w:p>
    </w:sdtContent>
  </w:sdt>
  <w:p w:rsidR="00491153" w14:paraId="1E93D18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E15193"/>
    <w:multiLevelType w:val="multilevel"/>
    <w:tmpl w:val="9D2E67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0458C2"/>
    <w:multiLevelType w:val="hybridMultilevel"/>
    <w:tmpl w:val="9BAA5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9361C"/>
    <w:multiLevelType w:val="multilevel"/>
    <w:tmpl w:val="056C8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3">
    <w:nsid w:val="1560443A"/>
    <w:multiLevelType w:val="multilevel"/>
    <w:tmpl w:val="9AA2B594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2-"/>
      <w:suff w:val="space"/>
      <w:lvlText w:val="%1.%2."/>
      <w:lvlJc w:val="left"/>
      <w:pPr>
        <w:ind w:left="851" w:hanging="709"/>
      </w:pPr>
      <w:rPr>
        <w:color w:val="auto"/>
      </w:rPr>
    </w:lvl>
    <w:lvl w:ilvl="2">
      <w:start w:val="1"/>
      <w:numFmt w:val="decimal"/>
      <w:pStyle w:val="3-"/>
      <w:suff w:val="space"/>
      <w:lvlText w:val="%1.%2.%3."/>
      <w:lvlJc w:val="left"/>
      <w:pPr>
        <w:ind w:left="1418" w:hanging="709"/>
      </w:pPr>
    </w:lvl>
    <w:lvl w:ilvl="3">
      <w:start w:val="1"/>
      <w:numFmt w:val="decimal"/>
      <w:pStyle w:val="4-"/>
      <w:lvlText w:val="%1.%2.%3.%4."/>
      <w:lvlJc w:val="left"/>
      <w:pPr>
        <w:tabs>
          <w:tab w:val="num" w:pos="2268"/>
        </w:tabs>
        <w:ind w:left="2268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bullet"/>
      <w:pStyle w:val="2-0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6">
      <w:start w:val="1"/>
      <w:numFmt w:val="bullet"/>
      <w:pStyle w:val="3-0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7">
      <w:start w:val="1"/>
      <w:numFmt w:val="bullet"/>
      <w:pStyle w:val="4-0"/>
      <w:lvlText w:val=""/>
      <w:lvlJc w:val="left"/>
      <w:pPr>
        <w:tabs>
          <w:tab w:val="num" w:pos="2268"/>
        </w:tabs>
        <w:ind w:left="2268" w:hanging="85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DE24BE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6727F"/>
    <w:multiLevelType w:val="hybridMultilevel"/>
    <w:tmpl w:val="E0A018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B41AD"/>
    <w:multiLevelType w:val="hybridMultilevel"/>
    <w:tmpl w:val="75D62E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46C41"/>
    <w:multiLevelType w:val="multilevel"/>
    <w:tmpl w:val="9EDCE9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03556DB"/>
    <w:multiLevelType w:val="multilevel"/>
    <w:tmpl w:val="A3AEB67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9">
    <w:nsid w:val="226F27B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F30164"/>
    <w:multiLevelType w:val="multilevel"/>
    <w:tmpl w:val="2B385B1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1">
    <w:nsid w:val="236C30AF"/>
    <w:multiLevelType w:val="hybridMultilevel"/>
    <w:tmpl w:val="36D887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EA73C7"/>
    <w:multiLevelType w:val="multilevel"/>
    <w:tmpl w:val="D8387D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292A85"/>
    <w:multiLevelType w:val="multilevel"/>
    <w:tmpl w:val="F31619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DDD03FC"/>
    <w:multiLevelType w:val="multilevel"/>
    <w:tmpl w:val="131A3B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41063EDE"/>
    <w:multiLevelType w:val="multilevel"/>
    <w:tmpl w:val="3A42601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6">
    <w:nsid w:val="475708C4"/>
    <w:multiLevelType w:val="multilevel"/>
    <w:tmpl w:val="CE2CE3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17">
    <w:nsid w:val="483E4803"/>
    <w:multiLevelType w:val="hybridMultilevel"/>
    <w:tmpl w:val="75FCB7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97C41"/>
    <w:multiLevelType w:val="multilevel"/>
    <w:tmpl w:val="1D48B2E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4CD4A66"/>
    <w:multiLevelType w:val="multilevel"/>
    <w:tmpl w:val="D312E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72" w:hanging="1800"/>
      </w:pPr>
      <w:rPr>
        <w:rFonts w:hint="default"/>
      </w:rPr>
    </w:lvl>
  </w:abstractNum>
  <w:abstractNum w:abstractNumId="20">
    <w:nsid w:val="7BBD662F"/>
    <w:multiLevelType w:val="hybridMultilevel"/>
    <w:tmpl w:val="A838D6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8"/>
  </w:num>
  <w:num w:numId="4">
    <w:abstractNumId w:val="13"/>
  </w:num>
  <w:num w:numId="5">
    <w:abstractNumId w:val="1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5"/>
  </w:num>
  <w:num w:numId="10">
    <w:abstractNumId w:val="20"/>
  </w:num>
  <w:num w:numId="11">
    <w:abstractNumId w:val="16"/>
  </w:num>
  <w:num w:numId="12">
    <w:abstractNumId w:val="2"/>
  </w:num>
  <w:num w:numId="13">
    <w:abstractNumId w:val="19"/>
  </w:num>
  <w:num w:numId="14">
    <w:abstractNumId w:val="14"/>
  </w:num>
  <w:num w:numId="15">
    <w:abstractNumId w:val="15"/>
  </w:num>
  <w:num w:numId="16">
    <w:abstractNumId w:val="10"/>
  </w:num>
  <w:num w:numId="17">
    <w:abstractNumId w:val="8"/>
  </w:num>
  <w:num w:numId="18">
    <w:abstractNumId w:val="11"/>
  </w:num>
  <w:num w:numId="19">
    <w:abstractNumId w:val="4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4F"/>
    <w:rsid w:val="00001DE7"/>
    <w:rsid w:val="000101CA"/>
    <w:rsid w:val="00065477"/>
    <w:rsid w:val="0008298F"/>
    <w:rsid w:val="00087EC3"/>
    <w:rsid w:val="000A3A15"/>
    <w:rsid w:val="000B2156"/>
    <w:rsid w:val="000B52FD"/>
    <w:rsid w:val="000C4EF4"/>
    <w:rsid w:val="000F670E"/>
    <w:rsid w:val="00134905"/>
    <w:rsid w:val="00141E9E"/>
    <w:rsid w:val="0017088E"/>
    <w:rsid w:val="001764FD"/>
    <w:rsid w:val="00176F27"/>
    <w:rsid w:val="001824C6"/>
    <w:rsid w:val="001A1235"/>
    <w:rsid w:val="001B1411"/>
    <w:rsid w:val="001B1D17"/>
    <w:rsid w:val="001B2277"/>
    <w:rsid w:val="001C306B"/>
    <w:rsid w:val="00224450"/>
    <w:rsid w:val="00232FD9"/>
    <w:rsid w:val="00254DBC"/>
    <w:rsid w:val="00261428"/>
    <w:rsid w:val="002B7F75"/>
    <w:rsid w:val="002D7600"/>
    <w:rsid w:val="002D7FD2"/>
    <w:rsid w:val="00304958"/>
    <w:rsid w:val="00336556"/>
    <w:rsid w:val="00336558"/>
    <w:rsid w:val="00342445"/>
    <w:rsid w:val="00344DF7"/>
    <w:rsid w:val="003865ED"/>
    <w:rsid w:val="00393B48"/>
    <w:rsid w:val="003B054F"/>
    <w:rsid w:val="003C3F97"/>
    <w:rsid w:val="003E6DD8"/>
    <w:rsid w:val="00420EBB"/>
    <w:rsid w:val="004265C9"/>
    <w:rsid w:val="00461563"/>
    <w:rsid w:val="004644A9"/>
    <w:rsid w:val="00472349"/>
    <w:rsid w:val="0047329E"/>
    <w:rsid w:val="00491153"/>
    <w:rsid w:val="004A667F"/>
    <w:rsid w:val="004C4109"/>
    <w:rsid w:val="004D6892"/>
    <w:rsid w:val="004E1680"/>
    <w:rsid w:val="004F2295"/>
    <w:rsid w:val="00513D86"/>
    <w:rsid w:val="00515EAF"/>
    <w:rsid w:val="005160FD"/>
    <w:rsid w:val="005178F5"/>
    <w:rsid w:val="0052453B"/>
    <w:rsid w:val="00557E92"/>
    <w:rsid w:val="005C343E"/>
    <w:rsid w:val="005F5350"/>
    <w:rsid w:val="006278F6"/>
    <w:rsid w:val="00667D58"/>
    <w:rsid w:val="00695C0D"/>
    <w:rsid w:val="006A6AA5"/>
    <w:rsid w:val="006F13EC"/>
    <w:rsid w:val="0071410B"/>
    <w:rsid w:val="007239EA"/>
    <w:rsid w:val="0077638A"/>
    <w:rsid w:val="007A5E75"/>
    <w:rsid w:val="007B1545"/>
    <w:rsid w:val="007D60F3"/>
    <w:rsid w:val="00816144"/>
    <w:rsid w:val="008177F8"/>
    <w:rsid w:val="008446DC"/>
    <w:rsid w:val="00881DCA"/>
    <w:rsid w:val="00884FFE"/>
    <w:rsid w:val="008A73DF"/>
    <w:rsid w:val="008B2207"/>
    <w:rsid w:val="008C3437"/>
    <w:rsid w:val="008C6048"/>
    <w:rsid w:val="008C637E"/>
    <w:rsid w:val="008D449A"/>
    <w:rsid w:val="008D7315"/>
    <w:rsid w:val="008F60CF"/>
    <w:rsid w:val="0090696B"/>
    <w:rsid w:val="0091735F"/>
    <w:rsid w:val="00940E51"/>
    <w:rsid w:val="009701ED"/>
    <w:rsid w:val="009B1881"/>
    <w:rsid w:val="00A01453"/>
    <w:rsid w:val="00A15E1D"/>
    <w:rsid w:val="00A268F8"/>
    <w:rsid w:val="00A30B05"/>
    <w:rsid w:val="00A60D82"/>
    <w:rsid w:val="00A63BEB"/>
    <w:rsid w:val="00A64724"/>
    <w:rsid w:val="00A826A4"/>
    <w:rsid w:val="00A913F6"/>
    <w:rsid w:val="00AA11D2"/>
    <w:rsid w:val="00AC0392"/>
    <w:rsid w:val="00AD2A33"/>
    <w:rsid w:val="00B01EAF"/>
    <w:rsid w:val="00B070B8"/>
    <w:rsid w:val="00B10857"/>
    <w:rsid w:val="00B111C7"/>
    <w:rsid w:val="00B25B44"/>
    <w:rsid w:val="00B26F79"/>
    <w:rsid w:val="00B30E12"/>
    <w:rsid w:val="00B313D5"/>
    <w:rsid w:val="00B336D0"/>
    <w:rsid w:val="00B424C6"/>
    <w:rsid w:val="00B53E1F"/>
    <w:rsid w:val="00B62392"/>
    <w:rsid w:val="00B721D7"/>
    <w:rsid w:val="00B83D0E"/>
    <w:rsid w:val="00BC1502"/>
    <w:rsid w:val="00BC3348"/>
    <w:rsid w:val="00BE7288"/>
    <w:rsid w:val="00BF25A0"/>
    <w:rsid w:val="00C01BCA"/>
    <w:rsid w:val="00C1188C"/>
    <w:rsid w:val="00C24138"/>
    <w:rsid w:val="00C5692B"/>
    <w:rsid w:val="00C649EC"/>
    <w:rsid w:val="00CA093E"/>
    <w:rsid w:val="00CA490A"/>
    <w:rsid w:val="00CA6A46"/>
    <w:rsid w:val="00CB36CF"/>
    <w:rsid w:val="00CD3699"/>
    <w:rsid w:val="00CD3D8C"/>
    <w:rsid w:val="00CE6DB4"/>
    <w:rsid w:val="00CE77A7"/>
    <w:rsid w:val="00CF0F27"/>
    <w:rsid w:val="00CF1ACF"/>
    <w:rsid w:val="00D048AD"/>
    <w:rsid w:val="00D06F03"/>
    <w:rsid w:val="00D20E78"/>
    <w:rsid w:val="00D60A7F"/>
    <w:rsid w:val="00D86153"/>
    <w:rsid w:val="00DE22FD"/>
    <w:rsid w:val="00DE477F"/>
    <w:rsid w:val="00E01E16"/>
    <w:rsid w:val="00E07F58"/>
    <w:rsid w:val="00E1685B"/>
    <w:rsid w:val="00E25E4C"/>
    <w:rsid w:val="00E43A19"/>
    <w:rsid w:val="00E63F50"/>
    <w:rsid w:val="00E923BF"/>
    <w:rsid w:val="00E9475C"/>
    <w:rsid w:val="00EE1372"/>
    <w:rsid w:val="00EF6B4B"/>
    <w:rsid w:val="00F439D9"/>
    <w:rsid w:val="00F43A74"/>
    <w:rsid w:val="00F51458"/>
    <w:rsid w:val="00F64F7A"/>
    <w:rsid w:val="00F66488"/>
    <w:rsid w:val="00F802CF"/>
    <w:rsid w:val="00F82BC3"/>
    <w:rsid w:val="00F93CA6"/>
    <w:rsid w:val="00F93DF0"/>
    <w:rsid w:val="00FB51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436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able text"/>
    <w:uiPriority w:val="1"/>
    <w:qFormat/>
    <w:rsid w:val="003B054F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aliases w:val="h,Знак Знак"/>
    <w:basedOn w:val="Normal"/>
    <w:link w:val="a"/>
    <w:rsid w:val="003B054F"/>
    <w:pPr>
      <w:tabs>
        <w:tab w:val="center" w:pos="4677"/>
        <w:tab w:val="right" w:pos="9355"/>
      </w:tabs>
      <w:jc w:val="both"/>
    </w:pPr>
  </w:style>
  <w:style w:type="character" w:customStyle="1" w:styleId="a">
    <w:name w:val="Верхний колонтитул Знак"/>
    <w:aliases w:val="h Знак,Знак Знак Знак"/>
    <w:basedOn w:val="DefaultParagraphFont"/>
    <w:link w:val="Header"/>
    <w:rsid w:val="003B05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aliases w:val="Bullet List,FooterText,numbered,Заголовок_3,Bullet_IRAO,Мой Список,AC List 01,Подпись рисунка,Table-Normal,RSHB_Table-Normal,List Paragraph1,Алроса_маркер (Уровень 4),Маркер,ПАРАГРАФ,Абзац списка2,List Paragraph_0,ТКВ Абзац списка,ТЗ список"/>
    <w:basedOn w:val="Normal"/>
    <w:link w:val="a3"/>
    <w:uiPriority w:val="34"/>
    <w:qFormat/>
    <w:rsid w:val="003B054F"/>
    <w:pPr>
      <w:ind w:left="720"/>
      <w:contextualSpacing/>
    </w:pPr>
  </w:style>
  <w:style w:type="paragraph" w:customStyle="1" w:styleId="Normal1">
    <w:name w:val="Normal1"/>
    <w:rsid w:val="00E16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-">
    <w:name w:val="Контракты 1 - Номер"/>
    <w:qFormat/>
    <w:rsid w:val="00E1685B"/>
    <w:pPr>
      <w:keepNext/>
      <w:numPr>
        <w:numId w:val="6"/>
      </w:numPr>
      <w:spacing w:before="480" w:after="120" w:line="240" w:lineRule="auto"/>
      <w:jc w:val="center"/>
    </w:pPr>
    <w:rPr>
      <w:rFonts w:ascii="Times New Roman" w:eastAsia="Calibri" w:hAnsi="Times New Roman" w:cs="Times New Roman"/>
      <w:b/>
      <w:bCs/>
      <w:caps/>
      <w:sz w:val="24"/>
      <w:szCs w:val="24"/>
    </w:rPr>
  </w:style>
  <w:style w:type="paragraph" w:customStyle="1" w:styleId="2-">
    <w:name w:val="Контракты 2 - Номер"/>
    <w:qFormat/>
    <w:rsid w:val="00E1685B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2-0">
    <w:name w:val="Контракты 2 - Список"/>
    <w:qFormat/>
    <w:rsid w:val="00E1685B"/>
    <w:pPr>
      <w:numPr>
        <w:ilvl w:val="5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-">
    <w:name w:val="Контракты 3 - Номер"/>
    <w:qFormat/>
    <w:rsid w:val="00E1685B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3-0">
    <w:name w:val="Контракты 3 - Список"/>
    <w:qFormat/>
    <w:rsid w:val="00E1685B"/>
    <w:pPr>
      <w:numPr>
        <w:ilvl w:val="6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-">
    <w:name w:val="Контракты 4 - Номер"/>
    <w:qFormat/>
    <w:rsid w:val="00E1685B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eastAsia="Calibri" w:hAnsi="Times New Roman" w:cs="Times New Roman"/>
      <w:bCs/>
      <w:sz w:val="24"/>
      <w:szCs w:val="24"/>
    </w:rPr>
  </w:style>
  <w:style w:type="paragraph" w:customStyle="1" w:styleId="4-0">
    <w:name w:val="Контракты 4 - Список"/>
    <w:qFormat/>
    <w:rsid w:val="00E1685B"/>
    <w:pPr>
      <w:numPr>
        <w:ilvl w:val="7"/>
        <w:numId w:val="6"/>
      </w:numPr>
      <w:spacing w:before="120" w:after="120" w:line="240" w:lineRule="auto"/>
      <w:contextualSpacing/>
      <w:jc w:val="both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0F6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2D760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D7600"/>
    <w:rPr>
      <w:rFonts w:ascii="Segoe UI" w:eastAsia="Times New Roman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9115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911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Абзац списка Знак"/>
    <w:aliases w:val="Bullet List Знак,FooterText Знак,numbered Знак,Заголовок_3 Знак,Bullet_IRAO Знак,Мой Список Знак,AC List 01 Знак,Подпись рисунка Знак,Table-Normal Знак,RSHB_Table-Normal Знак,List Paragraph1 Знак,Алроса_маркер (Уровень 4) Знак"/>
    <w:basedOn w:val="DefaultParagraphFont"/>
    <w:link w:val="ListParagraph"/>
    <w:uiPriority w:val="34"/>
    <w:locked/>
    <w:rsid w:val="00254D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99961-099F-4E88-A29E-C8076805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