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8.xml.rels" ContentType="application/vnd.openxmlformats-package.relationships+xml"/>
  <Override PartName="/customXml/_rels/item7.xml.rels" ContentType="application/vnd.openxmlformats-package.relationships+xml"/>
  <Override PartName="/customXml/_rels/item6.xml.rels" ContentType="application/vnd.openxmlformats-package.relationships+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8.xml" ContentType="application/xml"/>
  <Override PartName="/customXml/itemProps8.xml" ContentType="application/vnd.openxmlformats-officedocument.customXmlProperties+xml"/>
  <Override PartName="/customXml/item7.xml" ContentType="application/xml"/>
  <Override PartName="/customXml/itemProps7.xml" ContentType="application/vnd.openxmlformats-officedocument.customXmlProperties+xml"/>
  <Override PartName="/customXml/item6.xml" ContentType="application/xml"/>
  <Override PartName="/customXml/item1.xml" ContentType="application/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3.xml" ContentType="application/vnd.openxmlformats-officedocument.customXmlProperties+xml"/>
  <Override PartName="/customXml/item3.xml" ContentType="application/xml"/>
  <Override PartName="/customXml/itemProps4.xml" ContentType="application/vnd.openxmlformats-officedocument.customXmlProperties+xml"/>
  <Override PartName="/customXml/item4.xml" ContentType="application/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5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2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08"/>
        <w:gridCol w:w="5013"/>
      </w:tblGrid>
      <w:tr>
        <w:trPr/>
        <w:tc>
          <w:tcPr>
            <w:tcW w:w="4908" w:type="dxa"/>
            <w:tcBorders/>
            <w:shd w:color="auto" w:fill="auto" w:val="clear"/>
          </w:tcPr>
          <w:p>
            <w:pPr>
              <w:pStyle w:val="Style22"/>
              <w:widowControl w:val="false"/>
              <w:rPr>
                <w:color w:val="D9D9D9"/>
              </w:rPr>
            </w:pPr>
            <w:r>
              <w:rPr>
                <w:b/>
                <w:i/>
                <w:color w:val="D9D9D9"/>
                <w:sz w:val="18"/>
                <w:szCs w:val="18"/>
              </w:rPr>
              <w:t>ТПр 3439/25.</w:t>
            </w:r>
          </w:p>
        </w:tc>
        <w:tc>
          <w:tcPr>
            <w:tcW w:w="5013" w:type="dxa"/>
            <w:tcBorders/>
            <w:shd w:color="auto" w:fill="auto" w:val="clear"/>
          </w:tcPr>
          <w:p>
            <w:pPr>
              <w:pStyle w:val="1"/>
              <w:widowControl w:val="false"/>
              <w:jc w:val="right"/>
              <w:rPr>
                <w:b w:val="false"/>
                <w:b w:val="false"/>
                <w:sz w:val="26"/>
                <w:szCs w:val="26"/>
              </w:rPr>
            </w:pPr>
            <w:r>
              <w:rPr>
                <w:b w:val="false"/>
                <w:sz w:val="26"/>
                <w:szCs w:val="26"/>
              </w:rPr>
              <w:t>Приложение А к Договору</w:t>
            </w:r>
          </w:p>
          <w:p>
            <w:pPr>
              <w:pStyle w:val="1"/>
              <w:widowControl w:val="false"/>
              <w:jc w:val="right"/>
              <w:rPr>
                <w:b w:val="false"/>
                <w:b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от___________№_____________</w:t>
            </w:r>
          </w:p>
        </w:tc>
      </w:tr>
    </w:tbl>
    <w:p>
      <w:pPr>
        <w:pStyle w:val="ConsPlusNonformat1"/>
        <w:widowControl/>
        <w:rPr>
          <w:rFonts w:ascii="Times New Roman" w:hAnsi="Times New Roman" w:cs="Times New Roman"/>
          <w:b/>
          <w:b/>
          <w:sz w:val="10"/>
          <w:szCs w:val="10"/>
        </w:rPr>
      </w:pPr>
      <w:r>
        <w:rPr>
          <w:rFonts w:cs="Times New Roman" w:ascii="Times New Roman" w:hAnsi="Times New Roman"/>
          <w:b/>
          <w:sz w:val="10"/>
          <w:szCs w:val="10"/>
        </w:rPr>
      </w:r>
    </w:p>
    <w:p>
      <w:pPr>
        <w:pStyle w:val="ConsPlusNonformat1"/>
        <w:widowControl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ConsPlusNonformat1"/>
        <w:widowControl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ТЕХНИЧЕСКИЕ УСЛОВИЯ</w:t>
      </w:r>
    </w:p>
    <w:p>
      <w:pPr>
        <w:pStyle w:val="ConsPlusNonformat1"/>
        <w:widowControl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для присоединения к электрическим сетям</w:t>
      </w:r>
    </w:p>
    <w:p>
      <w:pPr>
        <w:pStyle w:val="ConsPlusNonformat1"/>
        <w:widowControl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tbl>
      <w:tblPr>
        <w:tblW w:w="992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91"/>
        <w:gridCol w:w="4930"/>
      </w:tblGrid>
      <w:tr>
        <w:trPr/>
        <w:tc>
          <w:tcPr>
            <w:tcW w:w="4991" w:type="dxa"/>
            <w:tcBorders/>
            <w:shd w:color="auto" w:fill="auto" w:val="clear"/>
          </w:tcPr>
          <w:p>
            <w:pPr>
              <w:pStyle w:val="ConsPlusNonformat1"/>
              <w:rPr>
                <w:rFonts w:ascii="Times New Roman" w:hAnsi="Times New Roman" w:cs="Times New Roman"/>
                <w:b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01-122-10-538</w:t>
            </w:r>
          </w:p>
        </w:tc>
        <w:tc>
          <w:tcPr>
            <w:tcW w:w="4930" w:type="dxa"/>
            <w:tcBorders/>
            <w:shd w:color="auto" w:fill="auto" w:val="clear"/>
          </w:tcPr>
          <w:p>
            <w:pPr>
              <w:pStyle w:val="ConsPlusNonformat1"/>
              <w:jc w:val="right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20.06.2025 г.</w:t>
            </w:r>
          </w:p>
        </w:tc>
      </w:tr>
    </w:tbl>
    <w:p>
      <w:pPr>
        <w:pStyle w:val="ConsPlusNonformat1"/>
        <w:widowControl/>
        <w:rPr>
          <w:rFonts w:ascii="Times New Roman" w:hAnsi="Times New Roman" w:cs="Times New Roman"/>
          <w:b/>
          <w:b/>
          <w:sz w:val="8"/>
          <w:szCs w:val="10"/>
        </w:rPr>
      </w:pPr>
      <w:r>
        <w:rPr>
          <w:rFonts w:cs="Times New Roman" w:ascii="Times New Roman" w:hAnsi="Times New Roman"/>
          <w:b/>
          <w:sz w:val="8"/>
          <w:szCs w:val="10"/>
        </w:rPr>
      </w:r>
    </w:p>
    <w:p>
      <w:pPr>
        <w:pStyle w:val="ConsPlusNonformat1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Сетевая организация: </w:t>
      </w:r>
      <w:r>
        <w:rPr>
          <w:rFonts w:cs="Times New Roman" w:ascii="Times New Roman" w:hAnsi="Times New Roman"/>
          <w:sz w:val="26"/>
          <w:szCs w:val="26"/>
        </w:rPr>
        <w:t>Акционерное общество «Дальневосточная распределительная сетевая компания» (АО «ДРСК»)</w:t>
      </w:r>
    </w:p>
    <w:p>
      <w:pPr>
        <w:pStyle w:val="ConsPlusNonformat1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Заявитель: Публичное акционерное общество "Федеральная сетевая компания - Россети"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ConsPlusNonformat1"/>
        <w:widowControl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ConsPlusNonformat1"/>
        <w:widowControl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Наименование энергопринимающих устройств заявителя: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Style w:val="FontStyle15"/>
          <w:rFonts w:cs="Times New Roman" w:ascii="Times New Roman" w:hAnsi="Times New Roman"/>
          <w:sz w:val="26"/>
          <w:szCs w:val="26"/>
        </w:rPr>
        <w:t xml:space="preserve">электроустановки объекта: ячейки 35 кВ 2С ЗРУ-35 кВ ПС 220 кВ Гродеково (для электроснабжения ТСН-2 35/0,4 кВ) к ВЛ 35 кВ </w:t>
      </w:r>
      <w:r>
        <w:rPr>
          <w:rFonts w:cs="Times New Roman" w:ascii="Times New Roman" w:hAnsi="Times New Roman"/>
          <w:sz w:val="26"/>
          <w:szCs w:val="26"/>
        </w:rPr>
        <w:t>(далее – объект)</w:t>
      </w:r>
    </w:p>
    <w:p>
      <w:pPr>
        <w:pStyle w:val="ConsPlusNonformat1"/>
        <w:widowControl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Наименование и место нахождения объектов, в целях электроснабжения которых осуществляется технологическое присоединение энергопринимающих устройств заявителя: ячейки 35 кВ 2С ЗРУ-35 кВ ПС 220 кВ Гродеково (для электроснабжения ТСН-2 35/0,4 кВ) к ВЛ 35 кВ</w:t>
      </w:r>
      <w:r>
        <w:rPr>
          <w:rFonts w:cs="Times New Roman" w:ascii="Times New Roman" w:hAnsi="Times New Roman"/>
          <w:sz w:val="26"/>
          <w:szCs w:val="26"/>
        </w:rPr>
        <w:t>, расположенный по адресу: Приморский край, Надеждинский район, в районе поселка Соловей ключ.</w:t>
      </w:r>
    </w:p>
    <w:p>
      <w:pPr>
        <w:pStyle w:val="ConsPlusNonformat1"/>
        <w:widowControl/>
        <w:numPr>
          <w:ilvl w:val="0"/>
          <w:numId w:val="1"/>
        </w:numPr>
        <w:ind w:left="0" w:hanging="0"/>
        <w:jc w:val="both"/>
        <w:rPr>
          <w:rStyle w:val="FontStyle15"/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Максимальная мощность присоединяемых энергопринимающих устройств заявителя составляет:</w:t>
      </w:r>
      <w:r>
        <w:rPr>
          <w:rFonts w:cs="Times New Roman" w:ascii="Times New Roman" w:hAnsi="Times New Roman"/>
          <w:sz w:val="26"/>
          <w:szCs w:val="26"/>
        </w:rPr>
        <w:t xml:space="preserve"> 380 </w:t>
      </w:r>
      <w:r>
        <w:rPr>
          <w:rStyle w:val="FontStyle15"/>
          <w:rFonts w:cs="Times New Roman" w:ascii="Times New Roman" w:hAnsi="Times New Roman"/>
          <w:sz w:val="26"/>
          <w:szCs w:val="26"/>
        </w:rPr>
        <w:t>кВт;</w:t>
      </w:r>
    </w:p>
    <w:p>
      <w:pPr>
        <w:pStyle w:val="ConsPlusNonformat1"/>
        <w:widowControl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Категория надежности: 3</w:t>
      </w:r>
    </w:p>
    <w:p>
      <w:pPr>
        <w:pStyle w:val="ConsPlusNonformat1"/>
        <w:widowControl/>
        <w:numPr>
          <w:ilvl w:val="0"/>
          <w:numId w:val="1"/>
        </w:numPr>
        <w:ind w:left="0" w:hanging="0"/>
        <w:jc w:val="both"/>
        <w:rPr>
          <w:rStyle w:val="FontStyle15"/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Класс напряжения электрических сетей, к которым осуществляется технологическое присоединение: 35 кВ</w:t>
      </w:r>
    </w:p>
    <w:p>
      <w:pPr>
        <w:pStyle w:val="ConsPlusNonformat1"/>
        <w:widowControl/>
        <w:numPr>
          <w:ilvl w:val="0"/>
          <w:numId w:val="1"/>
        </w:numPr>
        <w:ind w:left="0" w:hanging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b/>
          <w:sz w:val="26"/>
          <w:szCs w:val="26"/>
        </w:rPr>
        <w:t>Год ввода в эксплуатацию энергопринимающих устройств заявителя: 2026</w:t>
      </w:r>
    </w:p>
    <w:p>
      <w:pPr>
        <w:pStyle w:val="Normal"/>
        <w:numPr>
          <w:ilvl w:val="0"/>
          <w:numId w:val="1"/>
        </w:numPr>
        <w:ind w:left="0" w:hanging="0"/>
        <w:jc w:val="both"/>
        <w:rPr>
          <w:sz w:val="26"/>
          <w:szCs w:val="26"/>
        </w:rPr>
      </w:pPr>
      <w:r>
        <w:rPr>
          <w:b/>
          <w:sz w:val="26"/>
          <w:szCs w:val="26"/>
        </w:rPr>
        <w:t>Точки присоединения:</w:t>
      </w:r>
      <w:r>
        <w:rPr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>элементы электрической сети сетевой организации, расположенные в РУ 35 кВ ПС 35 кВ Соловей ключ</w:t>
      </w:r>
    </w:p>
    <w:p>
      <w:pPr>
        <w:pStyle w:val="Normal"/>
        <w:widowControl w:val="false"/>
        <w:numPr>
          <w:ilvl w:val="0"/>
          <w:numId w:val="1"/>
        </w:numPr>
        <w:ind w:left="0" w:hanging="0"/>
        <w:jc w:val="both"/>
        <w:rPr>
          <w:sz w:val="18"/>
          <w:szCs w:val="18"/>
        </w:rPr>
      </w:pPr>
      <w:r>
        <w:rPr>
          <w:b/>
          <w:sz w:val="26"/>
          <w:szCs w:val="26"/>
        </w:rPr>
        <w:t>Основной источник питания: ПС 35 кВ Соловей ключ</w:t>
      </w:r>
      <w:r>
        <w:rPr>
          <w:rFonts w:cs="Calibri"/>
          <w:sz w:val="26"/>
          <w:szCs w:val="26"/>
        </w:rPr>
        <w:t>.</w:t>
      </w:r>
    </w:p>
    <w:p>
      <w:pPr>
        <w:pStyle w:val="Normal"/>
        <w:widowControl w:val="false"/>
        <w:numPr>
          <w:ilvl w:val="0"/>
          <w:numId w:val="1"/>
        </w:numPr>
        <w:ind w:left="0" w:hanging="0"/>
        <w:jc w:val="both"/>
        <w:rPr>
          <w:sz w:val="26"/>
          <w:szCs w:val="26"/>
        </w:rPr>
      </w:pPr>
      <w:r>
        <w:rPr>
          <w:b/>
          <w:sz w:val="26"/>
          <w:szCs w:val="26"/>
        </w:rPr>
        <w:t>Резервный источник питания:</w:t>
      </w:r>
      <w:r>
        <w:rPr>
          <w:b/>
          <w:i/>
          <w:sz w:val="18"/>
          <w:szCs w:val="18"/>
        </w:rPr>
        <w:t xml:space="preserve"> </w:t>
      </w:r>
      <w:r>
        <w:rPr>
          <w:rFonts w:cs="Calibri"/>
          <w:sz w:val="26"/>
          <w:szCs w:val="26"/>
        </w:rPr>
        <w:t>отсутствует.</w:t>
      </w:r>
    </w:p>
    <w:p>
      <w:pPr>
        <w:pStyle w:val="ConsPlusNonformat1"/>
        <w:widowControl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Сетевая организация осуществляет:</w:t>
      </w:r>
    </w:p>
    <w:p>
      <w:pPr>
        <w:pStyle w:val="ConsPlusNonformat1"/>
        <w:widowControl/>
        <w:numPr>
          <w:ilvl w:val="1"/>
          <w:numId w:val="1"/>
        </w:numPr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Реконструкцию РУ 35 кВ ПС 35 кВ Соловей ключ с расширением на одну линейную ячейку 35 кВ (тип и параметры оборудования линейной ячейкой 35 кВ определить при проектировании). </w:t>
      </w:r>
    </w:p>
    <w:p>
      <w:pPr>
        <w:pStyle w:val="ConsPlusNonformat1"/>
        <w:widowControl/>
        <w:numPr>
          <w:ilvl w:val="1"/>
          <w:numId w:val="1"/>
        </w:numPr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Строительство ЛЭП 35 кВ от РУ-35 кВ ПС 35 кВ Соловей ключ до РУ-35 кВ ПС 220 кВ Гродеково, проводом сечением не менее 5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>0 мм2 длиной 250 м (тип и параметры ЛЭП 35 кВ определить в проектной документации).</w:t>
      </w:r>
    </w:p>
    <w:p>
      <w:pPr>
        <w:pStyle w:val="ConsPlusNonformat1"/>
        <w:widowControl/>
        <w:numPr>
          <w:ilvl w:val="1"/>
          <w:numId w:val="1"/>
        </w:numPr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Организацию коммерческого учета электрической энергии в соответствии с требованиями установленными Основными положениями функционирования розничных рынков электрической энергии.</w:t>
      </w:r>
    </w:p>
    <w:p>
      <w:pPr>
        <w:pStyle w:val="ConsPlusNonformat1"/>
        <w:widowControl/>
        <w:numPr>
          <w:ilvl w:val="1"/>
          <w:numId w:val="1"/>
        </w:numPr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Мероприятия по фактическому присоединению объекта Заявителя к электрическим сетям.</w:t>
      </w:r>
    </w:p>
    <w:p>
      <w:pPr>
        <w:pStyle w:val="ConsPlusNonformat1"/>
        <w:widowControl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Мероприятия, выполняемые заявителем в границах собственного земельного участка: </w:t>
      </w:r>
    </w:p>
    <w:p>
      <w:pPr>
        <w:pStyle w:val="ConsPlusNonformat1"/>
        <w:widowControl/>
        <w:numPr>
          <w:ilvl w:val="1"/>
          <w:numId w:val="1"/>
        </w:numPr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Разработку схемы электроснабжения электроустановок объектов с учетом требований Правил устройства электроустановок и других нормативно-технических документов.</w:t>
      </w:r>
    </w:p>
    <w:p>
      <w:pPr>
        <w:pStyle w:val="ConsPlusNonformat1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1"/>
        <w:widowControl/>
        <w:numPr>
          <w:ilvl w:val="1"/>
          <w:numId w:val="1"/>
        </w:numPr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Релейную защиту, защиту от прямых ударов молнии и перенапряжений, выполнить в соответствии с требованиями Правил устройства электроустановок и другими нормативно-техническими документами.</w:t>
      </w:r>
    </w:p>
    <w:p>
      <w:pPr>
        <w:pStyle w:val="ConsPlusNonformat1"/>
        <w:widowControl/>
        <w:numPr>
          <w:ilvl w:val="1"/>
          <w:numId w:val="1"/>
        </w:numPr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Монтаж и приёмо-сдаточные испытания электрооборудования выполнить в соответствии с Правилами устройств электроустановок (ПУЭ, 6-7 издание) и другими действующими нормативно-техническими документами.</w:t>
      </w:r>
    </w:p>
    <w:p>
      <w:pPr>
        <w:pStyle w:val="ConsPlusNonformat1"/>
        <w:widowControl/>
        <w:numPr>
          <w:ilvl w:val="1"/>
          <w:numId w:val="1"/>
        </w:numPr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Предусмотреть установку на вводе в энергопринимающие устройства заявителя защитных аппаратов, соответствующих максимальной мощности энергопринимающих устройств. </w:t>
      </w:r>
    </w:p>
    <w:p>
      <w:pPr>
        <w:pStyle w:val="ConsPlusNonformat1"/>
        <w:widowControl/>
        <w:numPr>
          <w:ilvl w:val="1"/>
          <w:numId w:val="1"/>
        </w:numPr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присоединении нагрузок, способствующих выходу параметров качества электроэнергии в точках присоединения к электрической сети АО «ДРСК», за пределы нормативных значений, определённых ГОСТ 32144-2013, установить в электроустановках объектов фильтр компенсирующие устройства, исключающие ухудшение качества электроэнергии и приводящие его параметры в соответствие с ГОСТ 32144-2013.</w:t>
      </w:r>
    </w:p>
    <w:p>
      <w:pPr>
        <w:pStyle w:val="ConsPlusNonformat1"/>
        <w:widowControl/>
        <w:numPr>
          <w:ilvl w:val="1"/>
          <w:numId w:val="1"/>
        </w:numPr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Представление в сетевую организацию копий разделов проектной документации, предусматривающих реализацию технических решений, обеспечивающих выполнение настоящих технических условий.</w:t>
      </w:r>
    </w:p>
    <w:p>
      <w:pPr>
        <w:pStyle w:val="ConsPlusNonformat1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12. Срок действия настоящих технических условий составляет </w:t>
      </w:r>
      <w:r>
        <w:rPr>
          <w:rFonts w:cs="Times New Roman" w:ascii="Times New Roman" w:hAnsi="Times New Roman"/>
          <w:sz w:val="26"/>
          <w:szCs w:val="26"/>
        </w:rPr>
        <w:t>6 лет со дня заключения договора об осуществлении технологического присоединения к электрическим сетям.</w:t>
      </w:r>
    </w:p>
    <w:p>
      <w:pPr>
        <w:pStyle w:val="ConsPlusNonformat1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1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134" w:right="850" w:header="0" w:top="709" w:footer="708" w:bottom="1276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5131" w:leader="none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360" w:hanging="360"/>
      </w:pPr>
      <w:rPr>
        <w:sz w:val="26"/>
        <w:b/>
        <w:szCs w:val="26"/>
        <w:rFonts w:ascii="Times New Roman" w:hAnsi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sz w:val="26"/>
        <w:b w:val="false"/>
        <w:rFonts w:ascii="Times New Roman" w:hAnsi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keepNext w:val="true"/>
      <w:jc w:val="center"/>
      <w:outlineLvl w:val="0"/>
    </w:pPr>
    <w:rPr>
      <w:b/>
      <w:bCs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Гиперссылка1"/>
    <w:qFormat/>
    <w:rPr>
      <w:color w:val="0000FF"/>
      <w:u w:val="single"/>
    </w:rPr>
  </w:style>
  <w:style w:type="character" w:styleId="Style13" w:customStyle="1">
    <w:name w:val="Нижний колонтитул Знак"/>
    <w:link w:val="a4"/>
    <w:qFormat/>
    <w:rsid w:val="005b3b56"/>
    <w:rPr>
      <w:sz w:val="24"/>
      <w:szCs w:val="24"/>
    </w:rPr>
  </w:style>
  <w:style w:type="character" w:styleId="Style14" w:customStyle="1">
    <w:name w:val="Верхний колонтитул Знак"/>
    <w:link w:val="a6"/>
    <w:uiPriority w:val="99"/>
    <w:qFormat/>
    <w:rsid w:val="00cf4d14"/>
    <w:rPr/>
  </w:style>
  <w:style w:type="character" w:styleId="ConsPlusNonformat" w:customStyle="1">
    <w:name w:val="ConsPlusNonformat Знак"/>
    <w:link w:val="ConsPlusNonformat0"/>
    <w:qFormat/>
    <w:locked/>
    <w:rsid w:val="003b3dac"/>
    <w:rPr>
      <w:rFonts w:ascii="Courier New" w:hAnsi="Courier New" w:cs="Courier New"/>
    </w:rPr>
  </w:style>
  <w:style w:type="character" w:styleId="FontStyle15" w:customStyle="1">
    <w:name w:val="Font Style15"/>
    <w:qFormat/>
    <w:rsid w:val="003b3dac"/>
    <w:rPr>
      <w:rFonts w:ascii="Arial Narrow" w:hAnsi="Arial Narrow" w:cs="Arial Narrow"/>
      <w:sz w:val="22"/>
      <w:szCs w:val="22"/>
    </w:rPr>
  </w:style>
  <w:style w:type="character" w:styleId="ListLabel1">
    <w:name w:val="ListLabel 1"/>
    <w:qFormat/>
    <w:rPr>
      <w:rFonts w:ascii="Times New Roman" w:hAnsi="Times New Roman"/>
      <w:b/>
      <w:sz w:val="26"/>
      <w:szCs w:val="26"/>
    </w:rPr>
  </w:style>
  <w:style w:type="character" w:styleId="ListLabel2">
    <w:name w:val="ListLabel 2"/>
    <w:qFormat/>
    <w:rPr>
      <w:rFonts w:ascii="Times New Roman" w:hAnsi="Times New Roman"/>
      <w:b w:val="false"/>
      <w:sz w:val="26"/>
    </w:rPr>
  </w:style>
  <w:style w:type="character" w:styleId="ListLabel3">
    <w:name w:val="ListLabel 3"/>
    <w:qFormat/>
    <w:rPr>
      <w:b/>
      <w:sz w:val="26"/>
      <w:szCs w:val="26"/>
    </w:rPr>
  </w:style>
  <w:style w:type="character" w:styleId="ListLabel4">
    <w:name w:val="ListLabel 4"/>
    <w:qFormat/>
    <w:rPr>
      <w:b w:val="false"/>
    </w:rPr>
  </w:style>
  <w:style w:type="character" w:styleId="ListLabel5">
    <w:name w:val="ListLabel 5"/>
    <w:qFormat/>
    <w:rPr>
      <w:rFonts w:ascii="Times New Roman" w:hAnsi="Times New Roman"/>
      <w:b/>
      <w:sz w:val="26"/>
      <w:szCs w:val="26"/>
    </w:rPr>
  </w:style>
  <w:style w:type="character" w:styleId="ListLabel6">
    <w:name w:val="ListLabel 6"/>
    <w:qFormat/>
    <w:rPr>
      <w:rFonts w:ascii="Times New Roman" w:hAnsi="Times New Roman"/>
      <w:b w:val="false"/>
      <w:sz w:val="2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6">
    <w:name w:val="Body Text"/>
    <w:basedOn w:val="Normal"/>
    <w:pPr>
      <w:jc w:val="center"/>
    </w:pPr>
    <w:rPr>
      <w:b/>
      <w:bCs/>
      <w:sz w:val="16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Title"/>
    <w:basedOn w:val="Normal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link w:val="a5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3">
    <w:name w:val="Body Text Indent"/>
    <w:basedOn w:val="Normal"/>
    <w:rsid w:val="00bc0df2"/>
    <w:pPr>
      <w:spacing w:before="0" w:after="120"/>
      <w:ind w:left="283" w:hanging="0"/>
    </w:pPr>
    <w:rPr/>
  </w:style>
  <w:style w:type="paragraph" w:styleId="Style24" w:customStyle="1">
    <w:name w:val="Знак"/>
    <w:basedOn w:val="Normal"/>
    <w:qFormat/>
    <w:rsid w:val="007f629e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onsPlusNormal" w:customStyle="1">
    <w:name w:val="ConsPlusNormal"/>
    <w:qFormat/>
    <w:rsid w:val="009169a1"/>
    <w:pPr>
      <w:widowControl w:val="false"/>
      <w:bidi w:val="0"/>
      <w:ind w:firstLine="720"/>
      <w:jc w:val="left"/>
    </w:pPr>
    <w:rPr>
      <w:rFonts w:ascii="Arial" w:hAnsi="Arial" w:eastAsia="Times New Roman" w:cs="Arial"/>
      <w:color w:val="00000A"/>
      <w:sz w:val="24"/>
      <w:szCs w:val="20"/>
      <w:lang w:val="ru-RU" w:eastAsia="ru-RU" w:bidi="ar-SA"/>
    </w:rPr>
  </w:style>
  <w:style w:type="paragraph" w:styleId="BalloonText">
    <w:name w:val="Balloon Text"/>
    <w:basedOn w:val="Normal"/>
    <w:semiHidden/>
    <w:qFormat/>
    <w:rsid w:val="004e5f5a"/>
    <w:pPr/>
    <w:rPr>
      <w:rFonts w:ascii="Tahoma" w:hAnsi="Tahoma" w:cs="Tahoma"/>
      <w:sz w:val="16"/>
      <w:szCs w:val="16"/>
    </w:rPr>
  </w:style>
  <w:style w:type="paragraph" w:styleId="Style25">
    <w:name w:val="Footer"/>
    <w:basedOn w:val="Normal"/>
    <w:link w:val="a3"/>
    <w:rsid w:val="005b3b56"/>
    <w:pPr>
      <w:tabs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ConsPlusNonformat1" w:customStyle="1">
    <w:name w:val="ConsPlusNonformat"/>
    <w:link w:val="ConsPlusNonformat"/>
    <w:qFormat/>
    <w:rsid w:val="003b3dac"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0d6c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<Relationship Id="rId11" Type="http://schemas.openxmlformats.org/officeDocument/2006/relationships/customXml" Target="../customXml/item5.xml"/><Relationship Id="rId12" Type="http://schemas.openxmlformats.org/officeDocument/2006/relationships/customXml" Target="../customXml/item6.xml"/><Relationship Id="rId13" Type="http://schemas.openxmlformats.org/officeDocument/2006/relationships/customXml" Target="../customXml/item7.xml"/><Relationship Id="rId14" Type="http://schemas.openxmlformats.org/officeDocument/2006/relationships/customXml" Target="../customXml/item8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_rels/item6.xml.rels><?xml version="1.0" encoding="UTF-8"?>
<Relationships xmlns="http://schemas.openxmlformats.org/package/2006/relationships"><Relationship Id="rId1" Type="http://schemas.openxmlformats.org/officeDocument/2006/relationships/customXmlProps" Target="itemProps6.xml"/>
</Relationships>
</file>

<file path=customXml/_rels/item7.xml.rels><?xml version="1.0" encoding="UTF-8"?>
<Relationships xmlns="http://schemas.openxmlformats.org/package/2006/relationships"><Relationship Id="rId1" Type="http://schemas.openxmlformats.org/officeDocument/2006/relationships/customXmlProps" Target="itemProps7.xml"/>
</Relationships>
</file>

<file path=customXml/_rels/item8.xml.rels><?xml version="1.0" encoding="UTF-8"?>
<Relationships xmlns="http://schemas.openxmlformats.org/package/2006/relationships"><Relationship Id="rId1" Type="http://schemas.openxmlformats.org/officeDocument/2006/relationships/customXmlProps" Target="itemProps8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65700-1E45-4458-9224-0D2A3FDC62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299E0-8D9C-4C07-A344-1E0FD3724D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2D1245-ADE8-45EF-B453-F766DD71DE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DD96C9-4838-46CD-BB5E-4E0C3653FA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61FA3DB-A968-4967-A350-005644A23F7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BAD7E8E-3C8D-4AA0-ACE3-DDE1F97EE09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99DCEAD-3FFD-4571-B45C-472B11E2708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192C360-18B3-48F2-87F3-CEDC852E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LibreOffice/5.3.6.1$Linux_X86_64 LibreOffice_project/30$Build-1</Application>
  <Pages>2</Pages>
  <Words>445</Words>
  <Characters>3220</Characters>
  <CharactersWithSpaces>3617</CharactersWithSpaces>
  <Paragraphs>31</Paragraphs>
  <Company>ОАО Амурэнерго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2025-06-26T00:42:00Z</dcterms:created>
  <dc:creator>user1</dc:creator>
  <dc:description/>
  <dc:language>ru-RU</dc:language>
  <cp:lastModifiedBy/>
  <cp:lastPrinted>2025-06-26T00:41:00Z</cp:lastPrinted>
  <dcterms:modified xsi:type="dcterms:W3CDTF">2026-03-23T15:41:14Z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ОАО Амурэнерго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