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spacing w:val="-20"/>
          <w:sz w:val="24"/>
          <w:szCs w:val="24"/>
        </w:rPr>
      </w:pPr>
      <w:r>
        <w:rPr>
          <w:b/>
          <w:spacing w:val="-20"/>
          <w:sz w:val="24"/>
          <w:szCs w:val="24"/>
        </w:rPr>
        <w:t>У Т В Е Р Ж Д А 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>
        <w:rPr>
          <w:sz w:val="24"/>
          <w:szCs w:val="24"/>
        </w:rPr>
        <w:t>Директор Южного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>_____________ В.А. Изотов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>«____» ______________ 2026 г.</w:t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sectPr>
          <w:headerReference w:type="default" r:id="rId2"/>
          <w:type w:val="nextPage"/>
          <w:pgSz w:w="11906" w:h="16838"/>
          <w:pgMar w:left="993" w:right="707" w:gutter="0" w:header="680" w:top="737" w:footer="0" w:bottom="709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sz w:val="24"/>
          <w:szCs w:val="24"/>
        </w:rPr>
      </w:pPr>
      <w:bookmarkStart w:id="0" w:name="_GoBack"/>
      <w:bookmarkEnd w:id="0"/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«ОКПД2 45.20.11.000. Оказание услуг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по техническому обслуживанию и текущему ремонту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автомобилей импортного производства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Кубанского транспортного участка Южного филиала АО "ТК РусГидро"»</w:t>
      </w:r>
      <w:bookmarkStart w:id="1" w:name="_GoBack_Копия_1_Копия_1_Копия_1"/>
      <w:bookmarkEnd w:id="1"/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/>
          </w:pPr>
          <w:r>
            <w:fldChar w:fldCharType="begin"/>
          </w:r>
          <w:r>
            <w:rPr>
              <w:webHidden/>
              <w:rStyle w:val="Style20"/>
              <w:sz w:val="24"/>
              <w:b w:val="false"/>
              <w:szCs w:val="24"/>
              <w:bCs w:val="false"/>
              <w:vanish w:val="false"/>
              <w:rFonts w:eastAsia="Calibri"/>
              <w:color w:val="auto"/>
            </w:rPr>
            <w:instrText xml:space="preserve"> TOC \z \o "1-4" \u \h</w:instrText>
          </w:r>
          <w:r>
            <w:rPr>
              <w:webHidden/>
              <w:rStyle w:val="Style20"/>
              <w:sz w:val="24"/>
              <w:b w:val="false"/>
              <w:szCs w:val="24"/>
              <w:bCs w:val="false"/>
              <w:vanish w:val="false"/>
              <w:rFonts w:eastAsia="Calibri"/>
              <w:color w:val="auto"/>
            </w:rPr>
            <w:fldChar w:fldCharType="separate"/>
          </w:r>
          <w:hyperlink w:anchor="_Toc188348628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</w:rPr>
              <w:t>1. 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29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</w:rPr>
              <w:t xml:space="preserve">1.1. </w:t>
            </w:r>
            <w:r>
              <w:rPr>
                <w:rStyle w:val="Style20"/>
                <w:b w:val="false"/>
                <w:bCs w:val="false"/>
                <w:color w:val="auto"/>
                <w:sz w:val="24"/>
                <w:szCs w:val="24"/>
                <w:lang w:eastAsia="zh-CN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0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1.2. 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bookmarkStart w:id="2" w:name="_GoBack_Копия_1"/>
          <w:bookmarkStart w:id="3" w:name="_GoBack_Копия_1_Копия_1_Копия_1_Копия_1_"/>
          <w:bookmarkEnd w:id="2"/>
          <w:bookmarkEnd w:id="3"/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 xml:space="preserve"> </w:t>
          </w:r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 xml:space="preserve">«ОКПД2 45.20.11.000. Оказание услуг по техническому обслуживанию и текущему ремонту </w:t>
          </w:r>
          <w:r>
            <w:rPr>
              <w:rFonts w:eastAsia="Calibri" w:cs="Times New Roman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>автомобилей импортного производства</w:t>
          </w:r>
          <w:r>
            <w:rPr>
              <w:rFonts w:eastAsia="Calibri" w:cs="Times New Roman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8"/>
              <w:szCs w:val="28"/>
              <w:u w:val="none"/>
              <w:em w:val="none"/>
              <w:lang w:eastAsia="en-US"/>
            </w:rPr>
            <w:t xml:space="preserve"> </w:t>
          </w:r>
          <w:r>
            <w:rPr>
              <w:rFonts w:eastAsia="Calibri"/>
              <w:b w:val="false"/>
              <w:bCs w:val="false"/>
              <w:i w:val="false"/>
              <w:strike w:val="false"/>
              <w:dstrike w:val="false"/>
              <w:outline w:val="false"/>
              <w:shadow w:val="false"/>
              <w:vanish w:val="false"/>
              <w:color w:val="000000"/>
              <w:sz w:val="24"/>
              <w:szCs w:val="24"/>
              <w:u w:val="none"/>
              <w:em w:val="none"/>
              <w:lang w:eastAsia="en-US"/>
            </w:rPr>
            <w:t>Кубанского транспортного участка Южного филиала АО "ТК РусГидро"»</w:t>
          </w:r>
          <w:hyperlink w:anchor="_Toc188348631">
            <w:bookmarkStart w:id="4" w:name="_GoBack_Копия_1_Копия_1_Копия_1_Копия_1"/>
            <w:bookmarkEnd w:id="4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2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1.3. 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3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ind w:left="560" w:hanging="0"/>
            <w:rPr>
              <w:rFonts w:ascii="Times New Roman" w:hAnsi="Times New Roman"/>
              <w:b w:val="false"/>
              <w:bCs w:val="false"/>
              <w:sz w:val="24"/>
              <w:szCs w:val="24"/>
            </w:rPr>
          </w:pPr>
          <w:r>
            <w:rPr>
              <w:b w:val="false"/>
              <w:bCs w:val="false"/>
              <w:sz w:val="24"/>
              <w:szCs w:val="24"/>
            </w:rPr>
          </w:r>
        </w:p>
        <w:p>
          <w:pPr>
            <w:pStyle w:val="TOC4"/>
            <w:rPr/>
          </w:pPr>
          <w:hyperlink w:anchor="_Toc188348635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1.4. Информация в отношении исполнения договора (в том числе перечень ресурсов, услуг и документов, предоставляемых заказчиком на этапе исполнения договора)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6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2. Требования к продукции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37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 Требования к объемам и срокам оказания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88348638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2.1.1.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39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2.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_Toc188348639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/>
          </w:pPr>
          <w:hyperlink w:anchor="_Toc188348640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2.1.2. Требования к перечню и объему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88348641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3.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_Toc188348641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88348642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sz w:val="24"/>
                <w:szCs w:val="24"/>
                <w:lang w:eastAsia="zh-CN"/>
              </w:rPr>
              <w:t>2.2.2. Требования к качеству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iCs w:val="false"/>
                <w:vanish w:val="false"/>
                <w:color w:val="auto"/>
                <w:sz w:val="24"/>
                <w:szCs w:val="24"/>
              </w:rPr>
              <w:t>1</w:t>
            </w:r>
          </w:hyperlink>
          <w:r>
            <w:rPr>
              <w:rFonts w:eastAsia="" w:cs="" w:cstheme="minorBidi" w:eastAsiaTheme="minorEastAsia"/>
              <w:b w:val="false"/>
              <w:bCs w:val="false"/>
              <w:iCs w:val="false"/>
              <w:vanish w:val="false"/>
              <w:color w:val="auto"/>
              <w:sz w:val="24"/>
              <w:szCs w:val="24"/>
            </w:rPr>
            <w:t>3</w:t>
          </w:r>
        </w:p>
        <w:p>
          <w:pPr>
            <w:pStyle w:val="TOC1"/>
            <w:rPr/>
          </w:pPr>
          <w:hyperlink w:anchor="_Toc188348643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Таблица 4. Требования к качеству услуг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  <w:t>1</w:t>
            </w:r>
          </w:hyperlink>
          <w:r>
            <w:rPr>
              <w:b w:val="false"/>
              <w:bCs w:val="false"/>
              <w:vanish w:val="false"/>
              <w:color w:val="auto"/>
              <w:sz w:val="24"/>
              <w:szCs w:val="24"/>
            </w:rPr>
            <w:t>3</w:t>
          </w:r>
        </w:p>
        <w:p>
          <w:pPr>
            <w:pStyle w:val="TOC1"/>
            <w:rPr/>
          </w:pPr>
          <w:hyperlink w:anchor="_Toc188348644">
            <w:r>
              <w:rPr>
                <w:webHidden/>
                <w:rStyle w:val="Style20"/>
                <w:rFonts w:eastAsia="Calibri"/>
                <w:b w:val="false"/>
                <w:bCs w:val="false"/>
                <w:vanish w:val="false"/>
                <w:color w:val="auto"/>
                <w:kern w:val="2"/>
                <w:sz w:val="24"/>
                <w:szCs w:val="24"/>
                <w:lang w:eastAsia="zh-CN"/>
              </w:rPr>
              <w:t>3.Требования к документации по ценообразованию на этапе закупки</w:t>
            </w:r>
            <w:r>
              <w:rPr>
                <w:rStyle w:val="Style20"/>
                <w:b w:val="false"/>
                <w:bCs w:val="false"/>
                <w:vanish w:val="false"/>
                <w:color w:val="auto"/>
                <w:sz w:val="24"/>
                <w:szCs w:val="24"/>
              </w:rPr>
              <w:tab/>
            </w:r>
            <w:r>
              <w:rPr>
                <w:rStyle w:val="Style20"/>
                <w:rFonts w:eastAsia="" w:cs="" w:cstheme="minorBidi" w:eastAsiaTheme="minorEastAsia"/>
                <w:b w:val="false"/>
                <w:bCs w:val="false"/>
                <w:vanish w:val="false"/>
                <w:color w:val="auto"/>
                <w:sz w:val="24"/>
                <w:szCs w:val="24"/>
              </w:rPr>
              <w:t>1</w:t>
            </w:r>
          </w:hyperlink>
          <w:r>
            <w:rPr>
              <w:rFonts w:eastAsia="" w:cs="" w:cstheme="minorBidi" w:eastAsiaTheme="minorEastAsia"/>
              <w:b w:val="false"/>
              <w:bCs w:val="false"/>
              <w:vanish w:val="false"/>
              <w:color w:val="auto"/>
              <w:sz w:val="24"/>
              <w:szCs w:val="24"/>
            </w:rPr>
            <w:t>7</w:t>
          </w:r>
          <w:r>
            <w:rPr>
              <w:sz w:val="24"/>
              <w:b w:val="false"/>
              <w:szCs w:val="24"/>
              <w:bCs w:val="false"/>
              <w:vanish w:val="false"/>
              <w:rFonts w:eastAsia="" w:cs=""/>
              <w:color w:val="auto"/>
            </w:rPr>
            <w:fldChar w:fldCharType="end"/>
          </w:r>
        </w:p>
      </w:sdtContent>
    </w:sdt>
    <w:p>
      <w:pPr>
        <w:pStyle w:val="TOC4"/>
        <w:rPr>
          <w:rFonts w:ascii="Calibri" w:hAnsi="Calibri" w:eastAsia="" w:cs="" w:asciiTheme="minorHAnsi" w:cstheme="minorBidi" w:eastAsiaTheme="minorEastAsia" w:hAnsiTheme="minorHAnsi"/>
          <w:i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iCs w:val="false"/>
          <w:color w:val="auto"/>
          <w:sz w:val="22"/>
          <w:szCs w:val="22"/>
        </w:rPr>
      </w:r>
    </w:p>
    <w:p>
      <w:pPr>
        <w:pStyle w:val="TOC1"/>
        <w:rPr>
          <w:rFonts w:ascii="Calibri" w:hAnsi="Calibri" w:eastAsia="" w:cs="" w:asciiTheme="minorHAnsi" w:cstheme="minorBidi" w:eastAsiaTheme="minorEastAsia" w:hAnsiTheme="minorHAnsi"/>
          <w:b w:val="false"/>
          <w:bCs w:val="false"/>
          <w:color w:val="auto"/>
          <w:sz w:val="22"/>
          <w:szCs w:val="22"/>
        </w:rPr>
      </w:pPr>
      <w:r>
        <w:rPr>
          <w:rFonts w:eastAsia="" w:cs="" w:cstheme="minorBidi" w:eastAsiaTheme="minorEastAsia" w:ascii="Calibri" w:hAnsi="Calibri"/>
          <w:b w:val="false"/>
          <w:bCs w:val="false"/>
          <w:color w:val="auto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tabs>
          <w:tab w:val="clear" w:pos="0"/>
        </w:tabs>
        <w:ind w:left="357" w:hanging="0"/>
        <w:jc w:val="center"/>
        <w:rPr>
          <w:caps/>
        </w:rPr>
      </w:pPr>
      <w:bookmarkStart w:id="5" w:name="_Toc188348628"/>
      <w:r>
        <w:rPr/>
        <w:t>1. Общие сведения</w:t>
      </w:r>
      <w:bookmarkEnd w:id="5"/>
    </w:p>
    <w:p>
      <w:pPr>
        <w:pStyle w:val="Heading4"/>
        <w:ind w:left="1224" w:hanging="1224"/>
        <w:rPr>
          <w:rFonts w:eastAsia="Times New Roman"/>
          <w:b w:val="false"/>
          <w:lang w:eastAsia="zh-CN"/>
        </w:rPr>
      </w:pPr>
      <w:bookmarkStart w:id="6" w:name="_Toc188348629"/>
      <w:r>
        <w:rPr/>
        <w:t xml:space="preserve">1.1. </w:t>
      </w:r>
      <w:r>
        <w:rPr>
          <w:rFonts w:eastAsia="Times New Roman"/>
          <w:lang w:eastAsia="zh-CN"/>
        </w:rPr>
        <w:t>Обозначения и сокращения</w:t>
      </w:r>
      <w:bookmarkEnd w:id="6"/>
    </w:p>
    <w:tbl>
      <w:tblPr>
        <w:tblW w:w="99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1965"/>
        <w:gridCol w:w="7994"/>
      </w:tblGrid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ТС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АО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Акционерное общество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ТК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Транспортная компания</w:t>
            </w:r>
          </w:p>
        </w:tc>
      </w:tr>
      <w:tr>
        <w:trPr>
          <w:cantSplit w:val="true"/>
        </w:trPr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ГОСТ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Государственный стандарт</w:t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1225" w:hanging="1225"/>
        <w:outlineLvl w:val="3"/>
        <w:rPr>
          <w:sz w:val="24"/>
          <w:szCs w:val="24"/>
        </w:rPr>
      </w:pPr>
      <w:bookmarkStart w:id="7" w:name="_Toc188348630"/>
      <w:r>
        <w:rPr>
          <w:b/>
          <w:bCs/>
          <w:sz w:val="24"/>
          <w:szCs w:val="24"/>
          <w:lang w:eastAsia="zh-CN"/>
        </w:rPr>
        <w:t>1.2. Наименование закупаемой продукции</w:t>
      </w:r>
      <w:bookmarkEnd w:id="7"/>
    </w:p>
    <w:p>
      <w:pPr>
        <w:pStyle w:val="Normal"/>
        <w:rPr>
          <w:b/>
          <w:bCs/>
          <w:sz w:val="24"/>
          <w:szCs w:val="24"/>
          <w:lang w:eastAsia="zh-CN"/>
        </w:rPr>
      </w:pPr>
      <w:r>
        <w:rPr>
          <w:sz w:val="24"/>
          <w:szCs w:val="24"/>
        </w:rPr>
        <w:t xml:space="preserve">    </w:t>
      </w:r>
      <w:r>
        <w:rPr>
          <w:b w:val="false"/>
          <w:bCs w:val="false"/>
          <w:sz w:val="24"/>
          <w:szCs w:val="24"/>
        </w:rPr>
        <w:t xml:space="preserve"> </w:t>
      </w:r>
      <w:bookmarkStart w:id="8" w:name="_GoBack_Копия_1_Копия_1_Копия_1_Копия_2_"/>
      <w:bookmarkEnd w:id="8"/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 xml:space="preserve">«ОКПД2 45.20.11.000. Оказание услуг по техническому обслуживанию и текущему ремонту 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автомобилей импортного производства</w:t>
      </w: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 </w:t>
      </w: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eastAsia="en-US"/>
        </w:rPr>
        <w:t>Кубанского транспортного участка Южного филиала АО "ТК РусГидро"»</w:t>
      </w:r>
      <w:bookmarkStart w:id="9" w:name="_GoBack_Копия_1_Копия_1_Копия_1_Копия_2"/>
      <w:bookmarkEnd w:id="9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0" w:hanging="0"/>
        <w:outlineLvl w:val="3"/>
        <w:rPr>
          <w:bCs/>
          <w:sz w:val="24"/>
          <w:szCs w:val="24"/>
          <w:lang w:eastAsia="zh-CN"/>
        </w:rPr>
      </w:pPr>
      <w:bookmarkStart w:id="10" w:name="_Toc188348632"/>
      <w:r>
        <w:rPr>
          <w:b/>
          <w:bCs/>
          <w:sz w:val="24"/>
          <w:szCs w:val="24"/>
          <w:lang w:eastAsia="zh-CN"/>
        </w:rPr>
        <w:t>1.3. Цель оказания услуг</w:t>
      </w:r>
      <w:bookmarkEnd w:id="10"/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</w:t>
      </w:r>
      <w:r>
        <w:rPr>
          <w:sz w:val="24"/>
          <w:szCs w:val="24"/>
          <w:lang w:eastAsia="zh-CN"/>
        </w:rPr>
        <w:t>Содержание транспортного средства Кубанского транспортного участка Южного филиала АО «ТК РусГидро» в технически исправном состоянии, проведение своевременного и качественного технического обслуживания и текущего ремонта.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b/>
          <w:bCs/>
          <w:kern w:val="2"/>
          <w:sz w:val="24"/>
          <w:szCs w:val="24"/>
          <w:lang w:eastAsia="zh-CN"/>
        </w:rPr>
      </w:pPr>
      <w:bookmarkStart w:id="11" w:name="_Toc188348633"/>
      <w:r>
        <w:rPr>
          <w:b/>
          <w:bCs/>
          <w:kern w:val="2"/>
          <w:sz w:val="24"/>
          <w:szCs w:val="24"/>
          <w:lang w:eastAsia="zh-CN"/>
        </w:rPr>
        <w:t>Таблица 1. Перечень объектов заказчика</w:t>
      </w:r>
      <w:bookmarkEnd w:id="11"/>
    </w:p>
    <w:p>
      <w:pPr>
        <w:pStyle w:val="Normal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b/>
          <w:bCs/>
          <w:kern w:val="2"/>
          <w:sz w:val="24"/>
          <w:szCs w:val="24"/>
          <w:lang w:eastAsia="zh-CN"/>
        </w:rPr>
      </w:pPr>
      <w:r>
        <w:rPr>
          <w:b/>
          <w:bCs/>
          <w:kern w:val="2"/>
          <w:sz w:val="24"/>
          <w:szCs w:val="24"/>
          <w:lang w:eastAsia="zh-CN"/>
        </w:rPr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62"/>
        <w:gridCol w:w="2694"/>
        <w:gridCol w:w="2549"/>
        <w:gridCol w:w="2540"/>
        <w:gridCol w:w="157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326" w:hRule="atLeast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/>
            </w:pPr>
            <w:r>
              <w:rPr/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Оказание услуг</w:t>
            </w:r>
            <w:r>
              <w:rPr>
                <w:rFonts w:eastAsia="Calibri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 xml:space="preserve"> по техническому обслуживанию и текущему ремонту </w:t>
            </w:r>
            <w:r>
              <w:rPr>
                <w:rFonts w:eastAsia="Calibri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автомобилей импортного производства</w:t>
            </w:r>
            <w:r>
              <w:rPr>
                <w:rFonts w:eastAsia="Calibri" w:cs="Times New Roman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  <w:lang w:eastAsia="en-US"/>
              </w:rPr>
              <w:t xml:space="preserve"> </w:t>
            </w:r>
            <w:r>
              <w:rPr>
                <w:rFonts w:eastAsia="Calibri"/>
                <w:b w:val="false"/>
                <w:bCs w:val="false"/>
                <w:i w:val="false"/>
                <w:iCs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en-US"/>
              </w:rPr>
              <w:t>Кубанского транспортного участка Южного филиала АО "ТК РусГидро"»</w:t>
            </w:r>
            <w:bookmarkStart w:id="12" w:name="_GoBack_Копия_1_Копия_1_Копия_1_Копия_3"/>
            <w:bookmarkEnd w:id="12"/>
          </w:p>
        </w:tc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Кубанский транспортный участок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Южный филиал АО «ТК РусГидро» РФ, Ставропольский край, г. Невинномысск, ул.Водопроводная, 360 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Toyota Camry г.н.        К 343 ЕК 797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RENAULT LOGAN 1,4, У 880 УА 163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TOYOTA COROLLA,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 807 МК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50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Е 725 ТВ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FORD TRANSIT BUS,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Е</w:t>
            </w:r>
            <w:r>
              <w:rPr>
                <w:iCs/>
                <w:sz w:val="22"/>
                <w:szCs w:val="22"/>
                <w:lang w:val="en-US"/>
              </w:rPr>
              <w:t xml:space="preserve"> 250 </w:t>
            </w:r>
            <w:r>
              <w:rPr>
                <w:iCs/>
                <w:sz w:val="22"/>
                <w:szCs w:val="22"/>
              </w:rPr>
              <w:t>АМ</w:t>
            </w:r>
            <w:r>
              <w:rPr>
                <w:iCs/>
                <w:sz w:val="22"/>
                <w:szCs w:val="22"/>
                <w:lang w:val="en-US"/>
              </w:rPr>
              <w:t xml:space="preserve">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TOYOTA FORTUNER, К 500 НУ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trHeight w:val="118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/>
            </w:pPr>
            <w:r>
              <w:rPr/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 HSRHGN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</w:rPr>
              <w:t>К</w:t>
            </w:r>
            <w:r>
              <w:rPr>
                <w:iCs/>
                <w:sz w:val="22"/>
                <w:szCs w:val="22"/>
                <w:lang w:val="en-US"/>
              </w:rPr>
              <w:t xml:space="preserve"> 141 </w:t>
            </w:r>
            <w:r>
              <w:rPr>
                <w:iCs/>
                <w:sz w:val="22"/>
                <w:szCs w:val="22"/>
              </w:rPr>
              <w:t>НН</w:t>
            </w:r>
            <w:r>
              <w:rPr>
                <w:iCs/>
                <w:sz w:val="22"/>
                <w:szCs w:val="22"/>
                <w:lang w:val="en-US"/>
              </w:rPr>
              <w:t xml:space="preserve">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FORD TRANSIT BUS,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111 ТО 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COROLLA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015 УХ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COROLLA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016 УХ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COROLLA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017 УХ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COROLLA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019 УХ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SOLLERS B-BF,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А 228 КА 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36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LOGAN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А 048 КО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2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LOGAN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iCs/>
                <w:sz w:val="22"/>
                <w:szCs w:val="22"/>
                <w:lang w:val="en-US"/>
              </w:rPr>
              <w:t>А 338 ОС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1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Camry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К 500 РЕ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4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В 835 ЕС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5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В 840 ЕC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59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TOYOTA LAND CRUISER 150 (PRADO), К 500 АО 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  <w:tr>
        <w:trPr>
          <w:trHeight w:val="147" w:hRule="atLeast"/>
        </w:trPr>
        <w:tc>
          <w:tcPr>
            <w:tcW w:w="5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360" w:hanging="0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26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RENAULT DUSTER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2"/>
                <w:szCs w:val="22"/>
                <w:lang w:val="en-US"/>
              </w:rPr>
            </w:pPr>
            <w:r>
              <w:rPr>
                <w:iCs/>
                <w:sz w:val="22"/>
                <w:szCs w:val="22"/>
                <w:lang w:val="en-US"/>
              </w:rPr>
              <w:t>В 780 УК 126</w:t>
            </w:r>
          </w:p>
        </w:tc>
        <w:tc>
          <w:tcPr>
            <w:tcW w:w="15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keepNext w:val="true"/>
        <w:numPr>
          <w:ilvl w:val="0"/>
          <w:numId w:val="0"/>
        </w:numPr>
        <w:spacing w:lineRule="atLeast" w:line="240" w:before="120" w:after="0"/>
        <w:ind w:left="0" w:hanging="0"/>
        <w:outlineLvl w:val="3"/>
        <w:rPr>
          <w:bCs/>
          <w:sz w:val="24"/>
          <w:szCs w:val="24"/>
          <w:lang w:eastAsia="zh-CN"/>
        </w:rPr>
      </w:pPr>
      <w:bookmarkStart w:id="13" w:name="_Toc188348635"/>
      <w:r>
        <w:rPr>
          <w:b/>
          <w:bCs/>
          <w:sz w:val="24"/>
          <w:szCs w:val="24"/>
          <w:lang w:eastAsia="zh-CN"/>
        </w:rPr>
        <w:t>1.4. Информация в отношении исполнения договора</w:t>
      </w:r>
      <w:bookmarkStart w:id="14" w:name="_Hlk46492347"/>
      <w:r>
        <w:rPr>
          <w:b/>
          <w:bCs/>
          <w:sz w:val="24"/>
          <w:szCs w:val="24"/>
          <w:lang w:eastAsia="zh-CN"/>
        </w:rPr>
        <w:t xml:space="preserve"> </w:t>
      </w:r>
      <w:bookmarkEnd w:id="14"/>
      <w:r>
        <w:rPr>
          <w:b/>
          <w:bCs/>
          <w:sz w:val="24"/>
          <w:szCs w:val="24"/>
          <w:lang w:eastAsia="zh-CN"/>
        </w:rPr>
        <w:t>(в том числе перечень ресурсов, услуг и документов, предоставляемых заказчиком на этапе исполнения договора)</w:t>
      </w:r>
      <w:bookmarkEnd w:id="13"/>
    </w:p>
    <w:p>
      <w:pPr>
        <w:pStyle w:val="Normal"/>
        <w:spacing w:before="0" w:after="0"/>
        <w:contextualSpacing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1.4.1. Объем выполняемых работ по техническому обслуживанию (далее ТО) транспортных средств (далее ТС) осуществляется в соответствии с пробегом ТС.</w:t>
      </w:r>
    </w:p>
    <w:p>
      <w:pPr>
        <w:pStyle w:val="Normal"/>
        <w:tabs>
          <w:tab w:val="clear" w:pos="708"/>
          <w:tab w:val="left" w:pos="630" w:leader="none"/>
        </w:tabs>
        <w:spacing w:before="0" w:after="0"/>
        <w:contextualSpacing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1.4.2. Техническое обслуживание ТС проводится с учетом имеющегося пробега ТС и установленных заводом-изготовителем межсервисных интервалов.</w:t>
      </w:r>
    </w:p>
    <w:p>
      <w:pPr>
        <w:pStyle w:val="Normal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1.4.3. Запасные части, расходные материалы, при выполнении ТО, должны быть новыми, не иметь дефектов и соответствовать государственным стандартам, техническим условиям, сертификатам качества, иной нормативно- технической документации, подтверждающей качество продукции.</w:t>
      </w:r>
    </w:p>
    <w:p>
      <w:pPr>
        <w:pStyle w:val="Normal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1.4.4.  Стоимость применяемых при выполнении ТО запасных частей и расходных материалов не должна превышать стоимость розничной реализации запасных частей у других поставщиков в данном регионе оказания услуг.</w:t>
      </w:r>
    </w:p>
    <w:p>
      <w:pPr>
        <w:pStyle w:val="Normal"/>
        <w:widowControl w:val="false"/>
        <w:jc w:val="both"/>
        <w:rPr>
          <w:bCs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1.4.5. Фактический объем услуг по договору определяется Заказчиком, исходя из его потребностей. Услуги выполняются на основании поданной Заказчиком заявки. В случае если в процессе выполнения работ будут выявлены дополнительные дефекты, требующие устранения, такие работы могут выполняться только с согласия Заказчика.</w:t>
      </w:r>
    </w:p>
    <w:p>
      <w:pPr>
        <w:pStyle w:val="Normal"/>
        <w:tabs>
          <w:tab w:val="clear" w:pos="708"/>
          <w:tab w:val="left" w:pos="1985" w:leader="none"/>
        </w:tabs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1.4.6. Местом оказания услуг являются специализированные сервисные центры Исполнителя, находящиеся не далее 60 км от расположения объекта.</w:t>
      </w:r>
    </w:p>
    <w:p>
      <w:pPr>
        <w:pStyle w:val="Normal"/>
        <w:widowControl w:val="fals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1.4.7. Все расходные материалы, замененные в процессе проведения технического обслуживания и ремонта транспортных средств Заказчика, переходят в собственность Исполнителя и утилизируются его силами.</w:t>
      </w:r>
    </w:p>
    <w:p>
      <w:pPr>
        <w:pStyle w:val="Normal"/>
        <w:widowControl w:val="false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1.4.8.</w:t>
        <w:tab/>
        <w:t>Заказчик вправе изменять объем работ и материалов, в период действия договора, не превышая предельную сумму договора.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1.4.9.</w:t>
        <w:tab/>
        <w:tab/>
        <w:t>Устранение дополнительных неисправностей, выявленных специалистами Исполнителя при проведении технического обслуживания или ремонта ТС, производится на основании дополнительного заказ-наряда по форме контрагента, предварительно согласованного с представителями Заказчика.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1.4.10.</w:t>
        <w:tab/>
        <w:t>Исполнитель должен обеспечить сохранность ТС и их комплектацию при оказании Услуг.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1.4.11.</w:t>
        <w:tab/>
        <w:t>В случае если в ходе проведения технических воздействий выявлена, необходимость замены какой-либо детали, узла или агрегата стоимость, которой или стоимость работы, по замене которой превышает 5000 (Пять тысяч) рублей без НДС, Исполнитель обязан провести дополнительное согласование с Заказчиком о необходимости и порядке выполнения данной работы.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1.4.12.</w:t>
        <w:tab/>
        <w:t>После выполнения оказанных услуг Исполнитель информирует Заказчика о готовности ТС и передает его по приемо-сдаточному акту. Исполнитель предоставляет Заказчику бесплатное хранение ТС на охраняемой территории на время ожидания работ и их проведения в течение 15 суток.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rFonts w:eastAsia="Calibri"/>
          <w:bCs/>
          <w:sz w:val="24"/>
          <w:szCs w:val="24"/>
          <w:shd w:fill="auto" w:val="clear"/>
          <w:lang w:eastAsia="zh-CN"/>
        </w:rPr>
        <w:t>1.4.13.</w:t>
        <w:tab/>
        <w:t>При проведении работ по техническому обслуживанию или ремонту обязательное рекомендация применение оригинальных запасных частей и расходных материалов, рекомендованных заводом-изготовителем ТС. Срок поставки необходимых запасных частей, узлов и агрегатов – не более 15 календарных дней с момента согласования стоимости и перечня работ с Заказчиком.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before="0" w:after="0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357" w:hanging="357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bookmarkStart w:id="15" w:name="_Toc188348636"/>
      <w:r>
        <w:rPr>
          <w:b/>
          <w:bCs/>
          <w:kern w:val="2"/>
          <w:sz w:val="24"/>
          <w:szCs w:val="24"/>
          <w:lang w:eastAsia="zh-CN"/>
        </w:rPr>
        <w:t>2. Требования к продукции</w:t>
      </w:r>
      <w:bookmarkEnd w:id="15"/>
    </w:p>
    <w:p>
      <w:pPr>
        <w:pStyle w:val="Normal"/>
        <w:keepNext w:val="true"/>
        <w:numPr>
          <w:ilvl w:val="0"/>
          <w:numId w:val="0"/>
        </w:numPr>
        <w:ind w:left="1224" w:hanging="1224"/>
        <w:outlineLvl w:val="3"/>
        <w:rPr>
          <w:bCs/>
          <w:sz w:val="24"/>
          <w:szCs w:val="24"/>
          <w:lang w:eastAsia="zh-CN"/>
        </w:rPr>
      </w:pPr>
      <w:bookmarkStart w:id="16" w:name="_Toc188348637"/>
      <w:r>
        <w:rPr>
          <w:bCs/>
          <w:sz w:val="24"/>
          <w:szCs w:val="24"/>
          <w:lang w:eastAsia="zh-CN"/>
        </w:rPr>
        <w:t>2.1. Требования к объемам и срокам оказания услуг</w:t>
      </w:r>
      <w:bookmarkEnd w:id="16"/>
    </w:p>
    <w:p>
      <w:pPr>
        <w:pStyle w:val="Normal"/>
        <w:keepNext w:val="true"/>
        <w:numPr>
          <w:ilvl w:val="0"/>
          <w:numId w:val="0"/>
        </w:numPr>
        <w:ind w:left="0" w:hanging="0"/>
        <w:outlineLvl w:val="2"/>
        <w:rPr>
          <w:b/>
          <w:sz w:val="24"/>
          <w:szCs w:val="24"/>
          <w:lang w:eastAsia="zh-CN"/>
        </w:rPr>
      </w:pPr>
      <w:bookmarkStart w:id="17" w:name="_Toc188348638"/>
      <w:r>
        <w:rPr>
          <w:sz w:val="24"/>
          <w:szCs w:val="24"/>
          <w:lang w:eastAsia="zh-CN"/>
        </w:rPr>
        <w:t>2.1.1. Требования к срокам оказания услуг</w:t>
      </w:r>
      <w:bookmarkEnd w:id="17"/>
    </w:p>
    <w:p>
      <w:pPr>
        <w:pStyle w:val="Normal"/>
        <w:jc w:val="both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 </w:t>
      </w:r>
      <w:r>
        <w:rPr>
          <w:b/>
          <w:sz w:val="24"/>
          <w:szCs w:val="24"/>
          <w:lang w:eastAsia="zh-CN"/>
        </w:rPr>
        <w:t>2.1.1.1. Сроки выполнения услуг:</w:t>
      </w:r>
    </w:p>
    <w:p>
      <w:pPr>
        <w:pStyle w:val="Normal"/>
        <w:ind w:left="360" w:hanging="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ТО – не более одного дня;</w:t>
      </w:r>
    </w:p>
    <w:p>
      <w:pPr>
        <w:pStyle w:val="Normal"/>
        <w:ind w:left="360" w:hanging="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zh-CN"/>
        </w:rPr>
        <w:t>- диагностические работы – не более 1 (одного) календарного дня.</w:t>
      </w:r>
    </w:p>
    <w:p>
      <w:pPr>
        <w:pStyle w:val="Normal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Срок выполнения работ включает в себя срок доставки запасных частей, используемых при выполнении работ.</w:t>
      </w:r>
    </w:p>
    <w:p>
      <w:pPr>
        <w:pStyle w:val="Normal"/>
        <w:ind w:firstLine="284"/>
        <w:rPr>
          <w:sz w:val="24"/>
          <w:szCs w:val="24"/>
          <w:lang w:eastAsia="zh-CN"/>
        </w:rPr>
      </w:pPr>
      <w:r>
        <w:rPr>
          <w:sz w:val="24"/>
          <w:szCs w:val="24"/>
          <w:lang w:eastAsia="en-US"/>
        </w:rPr>
        <w:t>- Исполнитель должен принимать автомобиль Заказчика в сроки не позднее 1 дня с момента обращения Заказчика.</w:t>
      </w:r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r>
        <w:rPr>
          <w:rFonts w:ascii="Cambria" w:hAnsi="Cambria"/>
          <w:b/>
          <w:bCs/>
          <w:kern w:val="2"/>
          <w:sz w:val="24"/>
          <w:szCs w:val="24"/>
          <w:lang w:eastAsia="zh-CN"/>
        </w:rPr>
      </w:r>
    </w:p>
    <w:p>
      <w:pPr>
        <w:pStyle w:val="Normal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r>
        <w:rPr>
          <w:rFonts w:ascii="Cambria" w:hAnsi="Cambria"/>
          <w:b/>
          <w:bCs/>
          <w:kern w:val="2"/>
          <w:sz w:val="24"/>
          <w:szCs w:val="24"/>
          <w:lang w:eastAsia="zh-CN"/>
        </w:rPr>
      </w:r>
    </w:p>
    <w:p>
      <w:pPr>
        <w:pStyle w:val="Normal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r>
        <w:rPr>
          <w:rFonts w:ascii="Cambria" w:hAnsi="Cambria"/>
          <w:b/>
          <w:bCs/>
          <w:kern w:val="2"/>
          <w:sz w:val="24"/>
          <w:szCs w:val="24"/>
          <w:lang w:eastAsia="zh-CN"/>
        </w:rPr>
      </w:r>
    </w:p>
    <w:p>
      <w:pPr>
        <w:pStyle w:val="Normal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ascii="Cambria" w:hAnsi="Cambria"/>
          <w:b/>
          <w:bCs/>
          <w:kern w:val="2"/>
          <w:sz w:val="24"/>
          <w:szCs w:val="24"/>
          <w:lang w:eastAsia="zh-CN"/>
        </w:rPr>
      </w:pPr>
      <w:bookmarkStart w:id="18" w:name="_Toc188348639"/>
      <w:r>
        <w:rPr>
          <w:b/>
          <w:bCs/>
          <w:kern w:val="2"/>
          <w:sz w:val="24"/>
          <w:szCs w:val="24"/>
          <w:lang w:eastAsia="zh-CN"/>
        </w:rPr>
        <w:t>Таблица 2. Требования к срокам оказания услуг</w:t>
      </w:r>
      <w:bookmarkEnd w:id="18"/>
    </w:p>
    <w:tbl>
      <w:tblPr>
        <w:tblW w:w="9855" w:type="dxa"/>
        <w:jc w:val="left"/>
        <w:tblInd w:w="-4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546"/>
        <w:gridCol w:w="3417"/>
        <w:gridCol w:w="2833"/>
        <w:gridCol w:w="3058"/>
      </w:tblGrid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 xml:space="preserve">№ </w:t>
            </w:r>
            <w:r>
              <w:rPr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Наименование услуг/ этапа услуг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Требования к началу срока оказания услуг/ этапа услуг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2"/>
                <w:szCs w:val="26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2"/>
                <w:szCs w:val="26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4</w:t>
            </w:r>
          </w:p>
        </w:tc>
      </w:tr>
      <w:tr>
        <w:trPr/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napToGrid w:val="false"/>
              <w:spacing w:before="0" w:after="0"/>
              <w:contextualSpacing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zh-CN"/>
              </w:rPr>
              <w:t>Техническое обслуживание и ремонт легковых автомобилей импортного производства Кубанского транспортного участка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01.01.2027 г.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 г.</w:t>
            </w:r>
          </w:p>
        </w:tc>
      </w:tr>
    </w:tbl>
    <w:p>
      <w:pPr>
        <w:pStyle w:val="Normal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outlineLvl w:val="2"/>
        <w:rPr>
          <w:sz w:val="24"/>
          <w:szCs w:val="24"/>
          <w:lang w:eastAsia="zh-CN"/>
        </w:rPr>
      </w:pPr>
      <w:bookmarkStart w:id="19" w:name="_Toc188348640"/>
      <w:r>
        <w:rPr>
          <w:b/>
          <w:bCs/>
          <w:sz w:val="24"/>
          <w:szCs w:val="24"/>
          <w:lang w:eastAsia="zh-CN"/>
        </w:rPr>
        <w:t>2.1.2. Требования к перечню и объему услуг</w:t>
      </w:r>
      <w:bookmarkEnd w:id="19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60"/>
        <w:ind w:left="0" w:hanging="0"/>
        <w:outlineLvl w:val="0"/>
        <w:rPr>
          <w:rFonts w:eastAsia="Calibri"/>
          <w:b/>
          <w:bCs/>
          <w:sz w:val="22"/>
          <w:szCs w:val="22"/>
          <w:lang w:eastAsia="en-US"/>
        </w:rPr>
      </w:pPr>
      <w:bookmarkStart w:id="20" w:name="_Toc188348641"/>
      <w:r>
        <w:rPr>
          <w:b/>
          <w:bCs/>
          <w:kern w:val="2"/>
          <w:sz w:val="24"/>
          <w:szCs w:val="24"/>
          <w:lang w:eastAsia="zh-CN"/>
        </w:rPr>
        <w:t>Таблица 3. Перечень и объем оказываемых услуг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</w:r>
    </w:p>
    <w:tbl>
      <w:tblPr>
        <w:tblW w:w="9917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93"/>
        <w:gridCol w:w="6076"/>
        <w:gridCol w:w="1398"/>
        <w:gridCol w:w="1549"/>
      </w:tblGrid>
      <w:tr>
        <w:trPr>
          <w:trHeight w:val="813" w:hRule="atLeast"/>
        </w:trPr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 xml:space="preserve">№ </w:t>
            </w:r>
            <w:r>
              <w:rPr>
                <w:b/>
                <w:bCs/>
                <w:sz w:val="22"/>
                <w:szCs w:val="22"/>
                <w:lang w:val="en-GB"/>
              </w:rPr>
              <w:t>п/п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Единица  измерения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RENAULT LOGAN 1,4, У 880 УА 163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RENAULT LOGAN 1,4, У 880 УА 163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TOYOTA COROLLA, Е 807 МК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TOYOTA COROLLA, Е 807 МК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RENAULT DUSTER Е 725 ТВ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RENAULT DUSTER Е 725 ТВ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Форд Транзит, Е 250 АМ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Форд Транзит, Е 250 АМ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TOYOTA FORTUNER, К 500 НУ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TOYOTA FORTUNER, К 500 НУ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RENAULT DUSTER HSRHGN (К 141 НН 126)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49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RENAULT DUSTER HSRHGN (К 141 НН 126)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FORD TRANSIT BUS, К 111 ТО 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FORD TRANSIT BUS, К 111 ТО 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TOYOTA COROLLA  К 015 УХ 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/>
              <w:t>Текущий ремонт TOYOTA COROLLA  К 015 УХ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TOYOTA COROLLA  К 016 УХ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TOYOTA COROLLA  К 016 УХ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TOYOTA COROLLA К 017 УХ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TOYOTA COROLLA К 017 УХ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TOYOTA COROLLA  К 019 УХ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/>
              <w:t>Текущий ремонт TOYOTA COROLLA  К 019 УХ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 </w:t>
            </w:r>
            <w:r>
              <w:rPr/>
              <w:t>Техническое обслуживание Форд Транзит, А 228 КА 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Текущий ремонт Форд Транзит, А 228 КА 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RENAULT LOGAN А 048 КО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</w:rPr>
            </w:pPr>
            <w:r>
              <w:rPr/>
              <w:t>Текущий ремонт RENAULT LOGAN А 048 КО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RENAULT LOGAN  А 338 ОС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000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 RENAULT LOGAN  А 338 ОС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 </w:t>
            </w:r>
            <w:r>
              <w:rPr/>
              <w:t>Техническое обслуживание TOYOTA Camry   К 500 РЕ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Текущий ремонт TOYOTA Camry   К 500 РЕ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RENAULT DUSTER В 835 ЕС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Текущий ремонт RENAULT DUSTER В 835 ЕС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RENAULT DUSTER В 840 ЕC 126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RENAULT DUSTER В 840 ЕC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TOYOTA LAND CRUISER 150 (PRADO), К 500 АО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2"/>
                <w:szCs w:val="22"/>
                <w:lang w:val="en-US"/>
              </w:rPr>
            </w:pPr>
            <w:r>
              <w:rPr/>
              <w:t>Текущий</w:t>
            </w:r>
            <w:r>
              <w:rPr>
                <w:lang w:val="en-US"/>
              </w:rPr>
              <w:t xml:space="preserve"> </w:t>
            </w:r>
            <w:r>
              <w:rPr/>
              <w:t>ремонт</w:t>
            </w:r>
            <w:r>
              <w:rPr>
                <w:lang w:val="en-US"/>
              </w:rPr>
              <w:t xml:space="preserve"> TOYOTA LAND CRUISER 150 (PRADO), </w:t>
            </w:r>
            <w:r>
              <w:rPr/>
              <w:t>К</w:t>
            </w:r>
            <w:r>
              <w:rPr>
                <w:lang w:val="en-US"/>
              </w:rPr>
              <w:t xml:space="preserve"> 500 </w:t>
            </w:r>
            <w:r>
              <w:rPr/>
              <w:t>АО</w:t>
            </w:r>
            <w:r>
              <w:rPr>
                <w:lang w:val="en-US"/>
              </w:rPr>
              <w:t xml:space="preserve"> 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/>
              <w:t>Техническое обслуживание RENAULT DUSTER В 780 УК 126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top w:val="single" w:sz="4" w:space="0" w:color="000000"/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>Текущий ремонт RENAULT DUSTER                 В 780 УК 126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/>
              <w:t xml:space="preserve"> </w:t>
            </w:r>
            <w:r>
              <w:rPr>
                <w:sz w:val="28"/>
                <w:szCs w:val="28"/>
              </w:rPr>
              <w:t>Техническое обслуживание Toyota Camry г.н.        К 343 ЕК 797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215" w:hRule="atLeast"/>
        </w:trPr>
        <w:tc>
          <w:tcPr>
            <w:tcW w:w="893" w:type="dxa"/>
            <w:tcBorders>
              <w:left w:val="single" w:sz="8" w:space="0" w:color="002060"/>
              <w:bottom w:val="single" w:sz="4" w:space="0" w:color="000000"/>
              <w:right w:val="single" w:sz="4" w:space="0" w:color="00206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6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Текущий ремонт Toyota Camry г.н. К 343 ЕК 797</w:t>
            </w:r>
          </w:p>
        </w:tc>
        <w:tc>
          <w:tcPr>
            <w:tcW w:w="13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Усл.ед</w:t>
            </w:r>
          </w:p>
        </w:tc>
        <w:tc>
          <w:tcPr>
            <w:tcW w:w="1549" w:type="dxa"/>
            <w:tcBorders>
              <w:left w:val="single" w:sz="4" w:space="0" w:color="002060"/>
              <w:bottom w:val="single" w:sz="4" w:space="0" w:color="002060"/>
              <w:right w:val="single" w:sz="8" w:space="0" w:color="002060"/>
            </w:tcBorders>
            <w:shd w:color="auto" w:fill="auto" w:val="clear"/>
          </w:tcPr>
          <w:p>
            <w:pPr>
              <w:pStyle w:val="Style47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16"/>
          <w:szCs w:val="16"/>
          <w:lang w:eastAsia="zh-CN"/>
        </w:rPr>
      </w:pPr>
      <w:r>
        <w:rPr>
          <w:b/>
          <w:sz w:val="16"/>
          <w:szCs w:val="16"/>
          <w:lang w:eastAsia="zh-CN"/>
        </w:rPr>
      </w:r>
    </w:p>
    <w:p>
      <w:pPr>
        <w:pStyle w:val="Normal"/>
        <w:numPr>
          <w:ilvl w:val="0"/>
          <w:numId w:val="0"/>
        </w:numPr>
        <w:ind w:left="1224" w:hanging="1224"/>
        <w:outlineLvl w:val="3"/>
        <w:rPr>
          <w:b/>
          <w:bCs/>
          <w:kern w:val="2"/>
          <w:sz w:val="24"/>
          <w:szCs w:val="24"/>
          <w:lang w:eastAsia="zh-CN"/>
        </w:rPr>
      </w:pPr>
      <w:r>
        <w:rPr>
          <w:b/>
          <w:bCs/>
          <w:kern w:val="2"/>
          <w:sz w:val="24"/>
          <w:szCs w:val="24"/>
          <w:lang w:eastAsia="zh-CN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Таблица 3.1.  </w:t>
      </w:r>
      <w:r>
        <w:rPr>
          <w:rFonts w:eastAsia="Calibri"/>
          <w:b/>
          <w:sz w:val="24"/>
          <w:szCs w:val="24"/>
          <w:lang w:eastAsia="en-US"/>
        </w:rPr>
        <w:t>Перечень выполняемых работ по техническому обслуживанию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3.1.1. Автомобилей марки </w:t>
      </w:r>
      <w:r>
        <w:rPr>
          <w:b/>
          <w:sz w:val="24"/>
          <w:szCs w:val="24"/>
          <w:lang w:val="en-US"/>
        </w:rPr>
        <w:t>Toyota</w:t>
      </w:r>
      <w:r>
        <w:rPr>
          <w:b/>
          <w:sz w:val="24"/>
          <w:szCs w:val="24"/>
        </w:rPr>
        <w:t xml:space="preserve">  </w:t>
      </w:r>
    </w:p>
    <w:tbl>
      <w:tblPr>
        <w:tblW w:w="10615" w:type="dxa"/>
        <w:jc w:val="left"/>
        <w:tblInd w:w="-26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VBand="1" w:noHBand="0" w:lastColumn="0" w:firstColumn="1" w:lastRow="0" w:firstRow="1"/>
      </w:tblPr>
      <w:tblGrid>
        <w:gridCol w:w="403"/>
        <w:gridCol w:w="4116"/>
        <w:gridCol w:w="709"/>
        <w:gridCol w:w="708"/>
        <w:gridCol w:w="567"/>
        <w:gridCol w:w="567"/>
        <w:gridCol w:w="567"/>
        <w:gridCol w:w="568"/>
        <w:gridCol w:w="568"/>
        <w:gridCol w:w="571"/>
        <w:gridCol w:w="561"/>
        <w:gridCol w:w="709"/>
      </w:tblGrid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№ </w:t>
            </w: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работ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-20000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-30000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-40000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-50000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-60000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-70000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-80000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-90000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ТО -100000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6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Узлы и агрегаты автомобиля - проверка на предмет утечек и внешних повреждений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3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выпуска отработавших газов - проверка на герметичность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4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Тормозная система - проверка педали тормоза, состояния тормозных колодок, дисков, суппортов, хода рычага стояночного тормоза, отсутствия утечек, состояния трубопроводов, шлангов, соединений, цилиндров, очистка и смазка тормозных механизмов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5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Стояночный тормоз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6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Рулевое управление: проверка отсутствия утечек, люфтов, состояния пыльников, легкости вращения рулевого колеса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7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Смазка карданных валов и проверка момента затяжки болтов карданных валов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8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Приводные валы и пыльники приводных валов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9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Шарниры подвесок, пыльники шарниров, люфты ступичных подшипников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0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Автоматическая трансмиссия (АКПП) - проверка жидкости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1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масла в раздаточной коробке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3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2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Наружные и внутренние световые приборы, звуковые сигналы, стеклоочистители и омыватели - проверка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</w:tr>
      <w:tr>
        <w:trPr>
          <w:trHeight w:val="25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3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Системы кондиционирования - проверка работы и уровня хладагента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4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Масло моторное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5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салонный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6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масляный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>
          <w:trHeight w:val="96" w:hRule="atLeast"/>
        </w:trPr>
        <w:tc>
          <w:tcPr>
            <w:tcW w:w="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7"/>
              </w:numPr>
              <w:spacing w:lineRule="auto" w:line="276" w:before="0" w:after="0"/>
              <w:contextualSpacing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4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Фильтр воздушный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>
      <w:pPr>
        <w:pStyle w:val="Normal"/>
        <w:ind w:left="-426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100 т.  проводить обслуживание автомобиля в соответствии с графиком технического обслуживания, начиная с 20 тыс.  или по временному интервалу. </w:t>
      </w:r>
    </w:p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rPr/>
      </w:pPr>
      <w:r>
        <w:rPr>
          <w:b/>
          <w:sz w:val="24"/>
          <w:szCs w:val="24"/>
        </w:rPr>
        <w:t xml:space="preserve">3.1.2. Автомобилей марки </w:t>
      </w:r>
      <w:r>
        <w:rPr>
          <w:b/>
        </w:rPr>
        <w:t>RENAULT</w:t>
      </w:r>
    </w:p>
    <w:tbl>
      <w:tblPr>
        <w:tblW w:w="10632" w:type="dxa"/>
        <w:jc w:val="left"/>
        <w:tblInd w:w="-3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80"/>
        <w:gridCol w:w="4890"/>
        <w:gridCol w:w="694"/>
        <w:gridCol w:w="29"/>
        <w:gridCol w:w="709"/>
        <w:gridCol w:w="709"/>
        <w:gridCol w:w="854"/>
        <w:gridCol w:w="848"/>
        <w:gridCol w:w="709"/>
        <w:gridCol w:w="709"/>
      </w:tblGrid>
      <w:tr>
        <w:trPr>
          <w:trHeight w:val="288" w:hRule="atLeast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№ </w:t>
            </w:r>
            <w:r>
              <w:rPr>
                <w:color w:val="000000"/>
                <w:sz w:val="22"/>
                <w:szCs w:val="22"/>
                <w:lang w:eastAsia="en-US"/>
              </w:rPr>
              <w:t>п.п</w:t>
            </w:r>
          </w:p>
        </w:tc>
        <w:tc>
          <w:tcPr>
            <w:tcW w:w="4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Наименование работы</w:t>
            </w:r>
          </w:p>
        </w:tc>
        <w:tc>
          <w:tcPr>
            <w:tcW w:w="526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Пробег автомобиля, тыс.</w:t>
            </w:r>
          </w:p>
        </w:tc>
      </w:tr>
      <w:tr>
        <w:trPr>
          <w:trHeight w:val="288" w:hRule="atLeast"/>
        </w:trPr>
        <w:tc>
          <w:tcPr>
            <w:tcW w:w="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90*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3" w:tgtFrame="ремень генератора Renault">
              <w:r>
                <w:rPr>
                  <w:sz w:val="22"/>
                  <w:szCs w:val="22"/>
                  <w:lang w:eastAsia="en-US"/>
                </w:rPr>
                <w:t>Ремень привода вспомогательных агрегатов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Масло в двигателе и масляный фильтр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4" w:tgtFrame="Соединения системы охлаждения Renault">
              <w:r>
                <w:rPr>
                  <w:sz w:val="22"/>
                  <w:szCs w:val="22"/>
                  <w:lang w:eastAsia="en-US"/>
                </w:rPr>
                <w:t>Шланги и соединения системы охдаждения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Топливные трубопроводы и соединения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5" w:tgtFrame="Воздушный фильтр Renault">
              <w:r>
                <w:rPr>
                  <w:sz w:val="22"/>
                  <w:szCs w:val="22"/>
                  <w:lang w:eastAsia="en-US"/>
                </w:rPr>
                <w:t>Воздушный фильтр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Крепление навесного оборудования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 вентиляции картера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Выпускной коллектор и его соединения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6" w:tgtFrame="трансмиссионное масло для Renault NFJ 75W80">
              <w:r>
                <w:rPr>
                  <w:sz w:val="22"/>
                  <w:szCs w:val="22"/>
                  <w:lang w:eastAsia="en-US"/>
                </w:rPr>
                <w:t>Уровень масла в коробке передач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7" w:tgtFrame="Пыльник ШРУСа Renault">
              <w:r>
                <w:rPr>
                  <w:sz w:val="22"/>
                  <w:szCs w:val="22"/>
                  <w:lang w:eastAsia="en-US"/>
                </w:rPr>
                <w:t>Чехлы шарниров равных угловых скоростей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8" w:tgtFrame="Детали передней подвески">
              <w:r>
                <w:rPr>
                  <w:sz w:val="22"/>
                  <w:szCs w:val="22"/>
                  <w:lang w:eastAsia="en-US"/>
                </w:rPr>
                <w:t>Проверка технического состояния деталей передней подвески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9" w:tgtFrame="Детали передней подвески">
              <w:r>
                <w:rPr>
                  <w:sz w:val="22"/>
                  <w:szCs w:val="22"/>
                  <w:lang w:eastAsia="en-US"/>
                </w:rPr>
                <w:t>Проверка технического состояния деталей задней подвески</w:t>
              </w:r>
            </w:hyperlink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Затяжка резьбовых соединений крепления шасси к кузову</w:t>
            </w:r>
          </w:p>
        </w:tc>
        <w:tc>
          <w:tcPr>
            <w:tcW w:w="694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10" w:tgtFrame="Рулевая рейка Renault">
              <w:r>
                <w:rPr>
                  <w:sz w:val="22"/>
                  <w:szCs w:val="22"/>
                  <w:lang w:eastAsia="en-US"/>
                </w:rPr>
                <w:t>Рулевой привод</w:t>
              </w:r>
            </w:hyperlink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Система гидроусилителя рулевого управления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Проверка свободного хода (люфта) рулевого колеса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Колодки, диски и барабаны тормозных механизмов колес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Стояночный тормоз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Вакуумный усилитель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Трубопроводы гидропривода тормозов и их соединения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Регулировка света фар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hyperlink r:id="rId11" w:tgtFrame="Салонный фильтр Renault">
              <w:r>
                <w:rPr>
                  <w:sz w:val="22"/>
                  <w:szCs w:val="22"/>
                  <w:lang w:eastAsia="en-US"/>
                </w:rPr>
                <w:t>Салонный фильтр</w:t>
              </w:r>
            </w:hyperlink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Ремни безопасности, замки и узлы крепления к кузову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552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Замки, петли, защелка капота, смазка арматуры кузова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  <w:tr>
        <w:trPr>
          <w:trHeight w:val="288" w:hRule="atLeast"/>
        </w:trPr>
        <w:tc>
          <w:tcPr>
            <w:tcW w:w="4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0"/>
              </w:numPr>
              <w:spacing w:lineRule="auto" w:line="27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</w:r>
          </w:p>
        </w:tc>
        <w:tc>
          <w:tcPr>
            <w:tcW w:w="4890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Прочистка дренажных отверстий</w:t>
            </w:r>
          </w:p>
        </w:tc>
        <w:tc>
          <w:tcPr>
            <w:tcW w:w="7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848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 П – проверка; З-Замена; С-смазка.</w:t>
      </w:r>
    </w:p>
    <w:p>
      <w:pPr>
        <w:pStyle w:val="Normal"/>
        <w:ind w:left="-426" w:hanging="0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 xml:space="preserve">За пределами пробега 90 т.  проводить обслуживание автомобиля в соответствии с графиком технического обслуживания, начиная с 15 тыс.  или по временному интервалу. 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>
          <w:b/>
          <w:sz w:val="24"/>
          <w:szCs w:val="24"/>
        </w:rPr>
        <w:t xml:space="preserve">3.1.3. Автомобилей марки </w:t>
      </w:r>
      <w:r>
        <w:rPr>
          <w:b/>
          <w:lang w:val="en-US"/>
        </w:rPr>
        <w:t>Ford</w:t>
      </w:r>
    </w:p>
    <w:tbl>
      <w:tblPr>
        <w:tblW w:w="10732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562"/>
        <w:gridCol w:w="3974"/>
        <w:gridCol w:w="4"/>
        <w:gridCol w:w="559"/>
        <w:gridCol w:w="4"/>
        <w:gridCol w:w="567"/>
        <w:gridCol w:w="2"/>
        <w:gridCol w:w="560"/>
        <w:gridCol w:w="6"/>
        <w:gridCol w:w="567"/>
        <w:gridCol w:w="14"/>
        <w:gridCol w:w="552"/>
        <w:gridCol w:w="6"/>
        <w:gridCol w:w="562"/>
        <w:gridCol w:w="11"/>
        <w:gridCol w:w="556"/>
        <w:gridCol w:w="17"/>
        <w:gridCol w:w="681"/>
        <w:gridCol w:w="21"/>
        <w:gridCol w:w="706"/>
        <w:gridCol w:w="11"/>
        <w:gridCol w:w="696"/>
        <w:gridCol w:w="93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r>
              <w:rPr>
                <w:b/>
                <w:bCs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Наименование работ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-30000</w:t>
            </w:r>
          </w:p>
        </w:tc>
        <w:tc>
          <w:tcPr>
            <w:tcW w:w="5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-45000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-60000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-75000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-90000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-105000</w:t>
            </w:r>
          </w:p>
        </w:tc>
        <w:tc>
          <w:tcPr>
            <w:tcW w:w="7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–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120000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-135000</w:t>
            </w:r>
          </w:p>
        </w:tc>
        <w:tc>
          <w:tcPr>
            <w:tcW w:w="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ТО –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Cs/>
                <w:sz w:val="16"/>
                <w:szCs w:val="18"/>
                <w:lang w:eastAsia="en-US"/>
              </w:rPr>
            </w:pPr>
            <w:r>
              <w:rPr>
                <w:b/>
                <w:bCs/>
                <w:sz w:val="16"/>
                <w:szCs w:val="18"/>
                <w:lang w:eastAsia="en-US"/>
              </w:rPr>
              <w:t>150000</w:t>
            </w:r>
          </w:p>
        </w:tc>
        <w:tc>
          <w:tcPr>
            <w:tcW w:w="93" w:type="dxa"/>
            <w:tcBorders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ind w:left="360" w:right="-162" w:hanging="360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работы контрольно-измерительных приборов, контрольных ламп на приборной панели и звукового сигнала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/ регулировка (при необходимости) работы сцепления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/ регулировка (при необходимости) работы омывателей и стеклоочистителей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>
          <w:trHeight w:val="103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работоспособности и состояния ламп наружного освещения и соответствующих контрольных ламп, подсветки щитка приборов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Calibri" w:hAnsi="Calibri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Calibri" w:hAnsi="Calibri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Calibri" w:hAnsi="Calibri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 w:before="0" w:after="160"/>
              <w:jc w:val="center"/>
              <w:rPr>
                <w:rFonts w:ascii="Calibri" w:hAnsi="Calibri" w:eastAsia="Calibri"/>
                <w:sz w:val="18"/>
                <w:szCs w:val="18"/>
                <w:lang w:eastAsia="en-US"/>
              </w:rPr>
            </w:pPr>
            <w:r>
              <w:rPr>
                <w:rFonts w:eastAsia="Calibri" w:ascii="Calibri" w:hAnsi="Calibri"/>
                <w:sz w:val="18"/>
                <w:szCs w:val="18"/>
                <w:lang w:eastAsia="en-US"/>
              </w:rPr>
              <w:t>П</w:t>
            </w:r>
          </w:p>
        </w:tc>
      </w:tr>
      <w:tr>
        <w:trPr>
          <w:trHeight w:val="545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стояночного тормоза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работоспособности и состояния ремней безопасности, пряжек и замков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работы и смазка (если применимо) замка / предохранительной защелки и петель капота, замка и петель дверей и багажника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>
          <w:trHeight w:val="97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Осмотр видимых участков электропроводки, трубопровода, шлангов, масляных и топливных магистралей на предмет правильности расположения, наличия повреждений, перетирания и протечек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 xml:space="preserve">      </w:t>
            </w:r>
            <w:r>
              <w:rPr>
                <w:rFonts w:ascii="Roboto" w:hAnsi="Roboto"/>
                <w:color w:val="33333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Roboto" w:hAnsi="Roboto"/>
                <w:b/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25"/>
              <w:jc w:val="center"/>
              <w:rPr>
                <w:rFonts w:ascii="Calibri" w:hAnsi="Calibri" w:cs="Segoe UI Symbol"/>
                <w:bCs/>
                <w:sz w:val="18"/>
                <w:szCs w:val="18"/>
                <w:lang w:eastAsia="en-US"/>
              </w:rPr>
            </w:pPr>
            <w:r>
              <w:rPr>
                <w:rFonts w:cs="Segoe UI Symbol" w:ascii="Calibri" w:hAnsi="Calibri"/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>
          <w:trHeight w:val="522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Осмотр двигателя, вакуумного насоса, радиатора, дополнительного отопителя (если установлен) на наличие повреждений и утечек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Очистка клемм аккумулятора (смазка при необходимости)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двигателя, трансмиссии и заднего моста на наличие видимых повреждений и протечек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Проверка тормозной системы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Ремень поликлиновой – проверка на отсутствие трещин, расслоений, изломов, появления бахромы ткани корда и следов масла и смазок /замена, при обнаружении перечисленных повреждений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-</w:t>
            </w:r>
          </w:p>
        </w:tc>
      </w:tr>
      <w:tr>
        <w:trPr>
          <w:trHeight w:val="484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color w:val="333333"/>
                <w:sz w:val="22"/>
                <w:szCs w:val="22"/>
                <w:lang w:eastAsia="en-US"/>
              </w:rPr>
            </w:pPr>
            <w:r>
              <w:rPr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52" w:before="0" w:after="160"/>
              <w:ind w:left="150" w:right="134" w:hanging="0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Замена топливного фильтра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П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Масло моторное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масляный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Фильтр воздушный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lineRule="auto" w:line="276" w:before="0" w:after="225"/>
              <w:contextualSpacing/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pPr>
            <w:r>
              <w:rPr>
                <w:rFonts w:ascii="Roboto" w:hAnsi="Roboto"/>
                <w:color w:val="333333"/>
                <w:sz w:val="22"/>
                <w:szCs w:val="22"/>
                <w:lang w:eastAsia="en-US"/>
              </w:rPr>
            </w:r>
          </w:p>
        </w:tc>
        <w:tc>
          <w:tcPr>
            <w:tcW w:w="3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ind w:left="150" w:right="134" w:hanging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Замена салонного фильтра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  <w:tc>
          <w:tcPr>
            <w:tcW w:w="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</w:t>
            </w:r>
          </w:p>
        </w:tc>
      </w:tr>
    </w:tbl>
    <w:p>
      <w:pPr>
        <w:pStyle w:val="Normal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</w:r>
    </w:p>
    <w:p>
      <w:pPr>
        <w:pStyle w:val="Normal"/>
        <w:numPr>
          <w:ilvl w:val="0"/>
          <w:numId w:val="0"/>
        </w:numPr>
        <w:ind w:left="1224" w:hanging="1224"/>
        <w:outlineLvl w:val="3"/>
        <w:rPr>
          <w:b/>
          <w:bCs/>
          <w:kern w:val="2"/>
          <w:sz w:val="24"/>
          <w:szCs w:val="24"/>
          <w:lang w:eastAsia="zh-CN"/>
        </w:rPr>
      </w:pPr>
      <w:bookmarkStart w:id="21" w:name="_Toc188348642"/>
      <w:r>
        <w:rPr>
          <w:b/>
          <w:bCs/>
          <w:sz w:val="24"/>
          <w:szCs w:val="24"/>
          <w:lang w:eastAsia="zh-CN"/>
        </w:rPr>
        <w:t>2.2.2. Требования к качеству услуг</w:t>
      </w:r>
      <w:bookmarkEnd w:id="21"/>
    </w:p>
    <w:p>
      <w:pPr>
        <w:pStyle w:val="Normal"/>
        <w:keepNext w:val="true"/>
        <w:numPr>
          <w:ilvl w:val="0"/>
          <w:numId w:val="0"/>
        </w:numPr>
        <w:spacing w:lineRule="atLeast" w:line="240" w:before="120" w:after="120"/>
        <w:ind w:left="0" w:hanging="0"/>
        <w:outlineLvl w:val="0"/>
        <w:rPr>
          <w:rFonts w:eastAsia="Calibri"/>
          <w:b/>
          <w:bCs/>
          <w:sz w:val="20"/>
          <w:szCs w:val="20"/>
          <w:lang w:eastAsia="zh-CN"/>
        </w:rPr>
      </w:pPr>
      <w:bookmarkStart w:id="22" w:name="_Toc188348643"/>
      <w:r>
        <w:rPr>
          <w:b/>
          <w:bCs/>
          <w:kern w:val="2"/>
          <w:sz w:val="24"/>
          <w:szCs w:val="24"/>
          <w:lang w:eastAsia="zh-CN"/>
        </w:rPr>
        <w:t>Таблица 4. Требования к качеству услуг</w:t>
      </w:r>
      <w:bookmarkEnd w:id="22"/>
      <w:r>
        <w:br w:type="page"/>
      </w:r>
    </w:p>
    <w:tbl>
      <w:tblPr>
        <w:tblW w:w="14939" w:type="dxa"/>
        <w:jc w:val="left"/>
        <w:tblInd w:w="128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850"/>
        <w:gridCol w:w="2635"/>
        <w:gridCol w:w="4613"/>
        <w:gridCol w:w="3176"/>
        <w:gridCol w:w="3665"/>
      </w:tblGrid>
      <w:tr>
        <w:trPr/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pageBreakBefore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6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22" w:hRule="atLeast"/>
        </w:trPr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46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</w:r>
          </w:p>
        </w:tc>
        <w:tc>
          <w:tcPr>
            <w:tcW w:w="31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3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center"/>
              <w:rPr>
                <w:bCs/>
                <w:i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i/>
                <w:i/>
                <w:sz w:val="24"/>
                <w:szCs w:val="24"/>
                <w:lang w:eastAsia="zh-CN"/>
              </w:rPr>
            </w:pPr>
            <w:r>
              <w:rPr>
                <w:rFonts w:eastAsia="Calibri"/>
                <w:i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для оказания услуг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обязуется принять ТС Заказчика для оказания услуг по ТО и ТР в срок не более 2-х рабочих дней с момента подачи заявки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  <w:tab w:val="left" w:pos="738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После рассмотрения предварительного заказ-наряда по форме контрагента и общей суммы ремонта представитель Заказчика принимает решение на проведение или не проведение технических воздействий</w:t>
            </w:r>
          </w:p>
        </w:tc>
        <w:tc>
          <w:tcPr>
            <w:tcW w:w="3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751" w:leader="none"/>
              </w:tabs>
              <w:spacing w:before="106" w:after="0"/>
              <w:ind w:left="751" w:right="0" w:hanging="0"/>
              <w:jc w:val="left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  <w:lang w:eastAsia="zh-CN"/>
              </w:rPr>
              <w:t>У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pacing w:val="0"/>
                <w:kern w:val="0"/>
                <w:sz w:val="24"/>
                <w:szCs w:val="24"/>
                <w:u w:val="none"/>
                <w:em w:val="none"/>
              </w:rPr>
              <w:t>частник должен предоставить в заявке согласие оказать услуги, полностью соответствующие настоящим техническим требованиям, по форме Технического предложения, установленной в Документации о закупке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3078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Расходные материалы и запчасти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/>
            </w:pPr>
            <w:r>
              <w:rPr>
                <w:sz w:val="24"/>
                <w:szCs w:val="24"/>
              </w:rPr>
              <w:t xml:space="preserve">Исполнитель при оказании услуг </w:t>
            </w:r>
            <w:r>
              <w:rPr>
                <w:bCs/>
                <w:sz w:val="24"/>
                <w:szCs w:val="24"/>
              </w:rPr>
              <w:t>должен осуществлять техническое обслуживание и текущий ремонт с использованием собственных материалов и запчастей или материалов и запчастей Заказчика.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обязуется предварительно согласовывать с Заказчиком стоимость и происхождение (оригинал/аналог) запасных частей, используемых в ходе проведения технических воздействий на ТС.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603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1.1.3.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выбора запасных частей и расходных материалов.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757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1.1.4.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контроля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по требованию Заказчика допускать его представителей для контроля процесса выполнения технологических и ремонтных операций, качества и полноты оказания услуг и в целом выполнения договорных обязательств непосредственно к местам производства работ.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757" w:hRule="atLeast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sz w:val="24"/>
                <w:szCs w:val="24"/>
                <w:lang w:eastAsia="zh-CN"/>
              </w:rPr>
            </w:pPr>
            <w:r>
              <w:rPr>
                <w:rFonts w:eastAsia="Calibri"/>
                <w:sz w:val="24"/>
                <w:szCs w:val="24"/>
                <w:lang w:eastAsia="zh-CN"/>
              </w:rPr>
              <w:t>1.1.5</w:t>
            </w:r>
          </w:p>
        </w:tc>
        <w:tc>
          <w:tcPr>
            <w:tcW w:w="2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Место оказания услуг</w:t>
            </w:r>
          </w:p>
        </w:tc>
        <w:tc>
          <w:tcPr>
            <w:tcW w:w="4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contextualSpacing/>
              <w:jc w:val="both"/>
              <w:rPr/>
            </w:pPr>
            <w:r>
              <w:rPr>
                <w:rFonts w:eastAsia="Calibri"/>
                <w:sz w:val="24"/>
                <w:szCs w:val="24"/>
                <w:lang w:eastAsia="zh-CN"/>
              </w:rPr>
              <w:t xml:space="preserve">Исполнитель должен предоставлять услуги по техническому обслуживанию и текущему ремонту </w:t>
            </w:r>
            <w:r>
              <w:rPr>
                <w:rFonts w:eastAsia="Calibri"/>
                <w:bCs/>
                <w:iCs/>
                <w:sz w:val="24"/>
                <w:szCs w:val="24"/>
                <w:lang w:eastAsia="zh-CN"/>
              </w:rPr>
              <w:t>автомобилей импортного производства Кубанского транспортного участка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1.2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 и технический ремонт транспортного средства, должен проводиться с соблюдением «Правил оказания услуг (выполнения работ) по техническому обслуживанию и ремонту автомототранспортных средств», утвержденных Постановлением Правительства РФ от 29.05.2025 № 780, инструкций по эксплуатации ТС, государственных стандартов к техническому состоянию ТС с целью поддержания надлежащего технического состояния ТС.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1.3.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бывшими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1.4.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1.4.1.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/>
            </w:pPr>
            <w:r>
              <w:rPr>
                <w:sz w:val="24"/>
                <w:szCs w:val="24"/>
              </w:rPr>
              <w:t xml:space="preserve">Проведение ТО и </w:t>
            </w:r>
            <w:r>
              <w:rPr>
                <w:rFonts w:eastAsia="Calibri"/>
                <w:sz w:val="24"/>
                <w:szCs w:val="24"/>
              </w:rPr>
              <w:t xml:space="preserve">ТР </w:t>
            </w:r>
            <w:r>
              <w:rPr>
                <w:sz w:val="24"/>
                <w:szCs w:val="24"/>
              </w:rPr>
              <w:t>ТС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 выполняться квалифицированным персоналом.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4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2.1.1.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выполнения работ ТС должно отвечать требованиям, регламентирующим техническое состояние и оборудование ТС,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2.2.1.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ТС, прошедшие ТО и ТР, должно отвечать требованиям Технического регламента Таможенного союза ТР ТС 018/2011 «О безопасности колесных транспортных средств», утвержденного Решением Комиссии Таможенного союза от 09.12.2011г №877.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zh-CN"/>
              </w:rPr>
              <w:t>2.3.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2.3.1.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 ТС после оказании услуги.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 оказании услуги, Заказчик проводит визуальный осмотр ТС на предмет соответствия заменённых деталей, узлов, агрегатов, механизмов в процессе ремонта.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2.4.1.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 сдачи-приемки оказанных услуг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98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60" w:after="60"/>
              <w:ind w:left="1224" w:right="0" w:hanging="1199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 на оплату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счет на оплату после оказания услуги.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04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2.4.3.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Счет-фактура (если контрагент является плательщиком НДС)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hanging="0"/>
              <w:jc w:val="center"/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59" w:hRule="atLeast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napToGrid w:val="false"/>
              <w:spacing w:before="60" w:after="60"/>
              <w:ind w:left="0" w:right="0" w:hanging="0"/>
              <w:jc w:val="center"/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  <w:lang w:eastAsia="zh-CN"/>
              </w:rPr>
              <w:t>3.1.</w:t>
            </w:r>
          </w:p>
        </w:tc>
        <w:tc>
          <w:tcPr>
            <w:tcW w:w="7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>
            <w:pPr>
              <w:pStyle w:val="Normal"/>
              <w:widowControl w:val="false"/>
              <w:suppressAutoHyphens w:val="true"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Исполнитель обязан предоставить гарантии на установленные узлы, агрегаты и запасные части согласно срокам, установленных заводом-изготовителем, а на оказанные услуги по ТР не менее 6 (шести) месяцев при условии эксплуатации ТС согласно руководству по эксплуатации.</w:t>
            </w:r>
          </w:p>
        </w:tc>
        <w:tc>
          <w:tcPr>
            <w:tcW w:w="31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napToGrid w:val="false"/>
              <w:spacing w:before="40" w:after="60"/>
              <w:jc w:val="center"/>
              <w:rPr>
                <w:b w:val="false"/>
                <w:bCs w:val="false"/>
                <w:sz w:val="24"/>
                <w:szCs w:val="24"/>
                <w:lang w:eastAsia="zh-CN"/>
              </w:rPr>
            </w:pPr>
            <w:r>
              <w:rPr>
                <w:b w:val="false"/>
                <w:bCs w:val="false"/>
                <w:sz w:val="24"/>
                <w:szCs w:val="24"/>
                <w:lang w:eastAsia="zh-CN"/>
              </w:rPr>
            </w:r>
          </w:p>
        </w:tc>
        <w:tc>
          <w:tcPr>
            <w:tcW w:w="3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b/>
          <w:sz w:val="24"/>
          <w:szCs w:val="24"/>
          <w:lang w:eastAsia="zh-CN"/>
        </w:rPr>
        <w:t>3.</w:t>
        <w:tab/>
        <w:t xml:space="preserve">  </w:t>
        <w:tab/>
        <w:t>Требования к документации по ценообразованию на этапе закупки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3.1. </w:t>
        <w:tab/>
        <w:t>В обоснование стоимости своей заявки Участник предоставляет Коммерческое предложение.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3.2. </w:t>
        <w:tab/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инструментов, и прочие расходы, связанные с оказанием услуг, предусмотренные Проектом договора.</w:t>
      </w:r>
    </w:p>
    <w:p>
      <w:pPr>
        <w:pStyle w:val="Normal"/>
        <w:tabs>
          <w:tab w:val="clear" w:pos="708"/>
          <w:tab w:val="left" w:pos="284" w:leader="none"/>
        </w:tabs>
        <w:suppressAutoHyphens w:val="true"/>
        <w:jc w:val="both"/>
        <w:rPr>
          <w:b/>
          <w:bCs/>
          <w:sz w:val="22"/>
          <w:szCs w:val="22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3.3. </w:t>
        <w:tab/>
        <w:t>Дополнительные документы по ценообразованию в состав заявки Участника не включаются.</w:t>
      </w:r>
    </w:p>
    <w:p>
      <w:pPr>
        <w:pStyle w:val="Normal"/>
        <w:widowControl w:val="false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Ответственный исполнитель </w:t>
      </w:r>
    </w:p>
    <w:p>
      <w:pPr>
        <w:pStyle w:val="Normal"/>
        <w:widowControl w:val="false"/>
        <w:rPr>
          <w:sz w:val="24"/>
          <w:szCs w:val="24"/>
        </w:rPr>
      </w:pPr>
      <w:r>
        <w:rPr>
          <w:color w:val="000000"/>
          <w:sz w:val="24"/>
          <w:szCs w:val="24"/>
        </w:rPr>
        <w:t>Начальник Кубанского ТУ                                                                              Линченко М.А.</w:t>
      </w:r>
    </w:p>
    <w:p>
      <w:pPr>
        <w:pStyle w:val="Normal"/>
        <w:suppressAutoHyphens w:val="false"/>
        <w:ind w:left="-284"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>Технический куратор</w:t>
      </w:r>
    </w:p>
    <w:p>
      <w:pPr>
        <w:pStyle w:val="Normal"/>
        <w:suppressAutoHyphens w:val="false"/>
        <w:ind w:left="-284" w:hanging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Руководитель группы КЭО и РТС </w:t>
      </w:r>
    </w:p>
    <w:p>
      <w:pPr>
        <w:pStyle w:val="Normal"/>
        <w:suppressAutoHyphens w:val="false"/>
        <w:ind w:left="-284" w:hang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ЮФ АО «ТК РусГидро»                                                                                     Патычек Ю.А.   </w:t>
      </w:r>
    </w:p>
    <w:sectPr>
      <w:headerReference w:type="even" r:id="rId12"/>
      <w:headerReference w:type="default" r:id="rId13"/>
      <w:headerReference w:type="first" r:id="rId14"/>
      <w:type w:val="nextPage"/>
      <w:pgSz w:orient="landscape" w:w="16838" w:h="11906"/>
      <w:pgMar w:left="993" w:right="707" w:gutter="0" w:header="680" w:top="73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alibri Light">
    <w:charset w:val="01"/>
    <w:family w:val="roman"/>
    <w:pitch w:val="variable"/>
  </w:font>
  <w:font w:name="Courier New">
    <w:charset w:val="01"/>
    <w:family w:val="roman"/>
    <w:pitch w:val="variable"/>
  </w:font>
  <w:font w:name="Arial Black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Roboto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1"/>
                            </w:rPr>
                          </w:pP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1"/>
                      </w:rPr>
                    </w:pPr>
                    <w:r>
                      <w:rPr>
                        <w:rStyle w:val="Pagenumber1"/>
                        <w:color w:val="000000"/>
                      </w:rPr>
                      <w:fldChar w:fldCharType="begin"/>
                    </w:r>
                    <w:r>
                      <w:rPr>
                        <w:rStyle w:val="Pagenumber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1"/>
                        <w:color w:val="000000"/>
                      </w:rPr>
                      <w:fldChar w:fldCharType="separate"/>
                    </w:r>
                    <w:r>
                      <w:rPr>
                        <w:rStyle w:val="Pagenumber1"/>
                        <w:color w:val="000000"/>
                      </w:rPr>
                      <w:t>0</w:t>
                    </w:r>
                    <w:r>
                      <w:rPr>
                        <w:rStyle w:val="Pagenumber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none"/>
      <w:suff w:val="nothing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%3.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%4.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%5.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%6.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%7.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%8.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%9."/>
      <w:lvlJc w:val="left"/>
      <w:pPr>
        <w:tabs>
          <w:tab w:val="num" w:pos="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6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8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6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16"/>
  </w:num>
  <w:num w:numId="47">
    <w:abstractNumId w:val="1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72b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eb0256"/>
    <w:pPr>
      <w:keepNext w:val="true"/>
      <w:tabs>
        <w:tab w:val="clear" w:pos="708"/>
        <w:tab w:val="left" w:pos="0" w:leader="none"/>
      </w:tabs>
      <w:spacing w:before="120" w:after="60"/>
      <w:ind w:left="1134" w:hanging="0"/>
      <w:outlineLvl w:val="2"/>
    </w:pPr>
    <w:rPr>
      <w:rFonts w:eastAsia="Calibri"/>
      <w:b/>
      <w:sz w:val="24"/>
      <w:szCs w:val="24"/>
      <w:lang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1">
    <w:name w:val="page number1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qFormat/>
    <w:rsid w:val="00b714b0"/>
    <w:rPr>
      <w:sz w:val="16"/>
      <w:szCs w:val="16"/>
    </w:rPr>
  </w:style>
  <w:style w:type="character" w:styleId="Strong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eastAsia="x-none"/>
    </w:rPr>
  </w:style>
  <w:style w:type="character" w:styleId="3" w:customStyle="1">
    <w:name w:val="Заголовок 3 Знак"/>
    <w:qFormat/>
    <w:rsid w:val="00eb0256"/>
    <w:rPr>
      <w:rFonts w:eastAsia="Calibri"/>
      <w:b/>
      <w:sz w:val="24"/>
      <w:szCs w:val="24"/>
      <w:lang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7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0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8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7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8"/>
    <w:qFormat/>
    <w:rsid w:val="00de52bc"/>
    <w:rPr>
      <w:b/>
      <w:sz w:val="28"/>
    </w:rPr>
  </w:style>
  <w:style w:type="character" w:styleId="12" w:customStyle="1">
    <w:name w:val="УРОВЕНЬ_1. Знак"/>
    <w:link w:val="111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c45fd"/>
    <w:rPr>
      <w:rFonts w:ascii="Tahoma" w:hAnsi="Tahoma" w:cs="Tahoma"/>
      <w:sz w:val="16"/>
      <w:szCs w:val="16"/>
    </w:rPr>
  </w:style>
  <w:style w:type="character" w:styleId="Style15" w:customStyle="1">
    <w:name w:val="Текст Знак"/>
    <w:basedOn w:val="DefaultParagraphFont"/>
    <w:link w:val="PlainText"/>
    <w:qFormat/>
    <w:rsid w:val="00bc45fd"/>
    <w:rPr>
      <w:rFonts w:ascii="Consolas" w:hAnsi="Consolas" w:eastAsia="Calibri"/>
      <w:sz w:val="21"/>
      <w:szCs w:val="21"/>
      <w:lang w:val="en-GB" w:eastAsia="en-US"/>
    </w:rPr>
  </w:style>
  <w:style w:type="character" w:styleId="32" w:customStyle="1">
    <w:name w:val="Основной текст 3 Знак"/>
    <w:basedOn w:val="DefaultParagraphFont"/>
    <w:link w:val="BodyText3"/>
    <w:qFormat/>
    <w:rsid w:val="00bc45fd"/>
    <w:rPr>
      <w:sz w:val="16"/>
      <w:szCs w:val="16"/>
    </w:rPr>
  </w:style>
  <w:style w:type="character" w:styleId="Style16" w:customStyle="1">
    <w:name w:val="Тема примечания Знак"/>
    <w:basedOn w:val="Style11"/>
    <w:link w:val="Annotationsubject"/>
    <w:qFormat/>
    <w:rsid w:val="00bc45fd"/>
    <w:rPr>
      <w:b/>
      <w:bCs/>
    </w:rPr>
  </w:style>
  <w:style w:type="character" w:styleId="33" w:customStyle="1">
    <w:name w:val="Основной текст с отступом 3 Знак"/>
    <w:basedOn w:val="DefaultParagraphFont"/>
    <w:link w:val="BodyTextIndent3"/>
    <w:qFormat/>
    <w:rsid w:val="00bc45fd"/>
    <w:rPr>
      <w:sz w:val="16"/>
      <w:szCs w:val="16"/>
    </w:rPr>
  </w:style>
  <w:style w:type="character" w:styleId="Style17" w:customStyle="1">
    <w:name w:val="Нижний колонтитул Знак"/>
    <w:basedOn w:val="DefaultParagraphFont"/>
    <w:qFormat/>
    <w:rsid w:val="00bc45fd"/>
    <w:rPr>
      <w:sz w:val="28"/>
      <w:szCs w:val="28"/>
    </w:rPr>
  </w:style>
  <w:style w:type="character" w:styleId="Apple-style-span" w:customStyle="1">
    <w:name w:val="apple-style-span"/>
    <w:qFormat/>
    <w:rsid w:val="00bc45fd"/>
    <w:rPr/>
  </w:style>
  <w:style w:type="character" w:styleId="Style18" w:customStyle="1">
    <w:name w:val="Заголовок Знак"/>
    <w:basedOn w:val="DefaultParagraphFont"/>
    <w:link w:val="115"/>
    <w:uiPriority w:val="10"/>
    <w:qFormat/>
    <w:rsid w:val="00bc45fd"/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character" w:styleId="13" w:customStyle="1">
    <w:name w:val="Заголовок Знак1"/>
    <w:basedOn w:val="DefaultParagraphFont"/>
    <w:uiPriority w:val="10"/>
    <w:qFormat/>
    <w:rsid w:val="00bc45f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c45fd"/>
    <w:rPr>
      <w:color w:val="954F72" w:themeColor="followedHyperlink"/>
      <w:u w:val="single"/>
    </w:rPr>
  </w:style>
  <w:style w:type="character" w:styleId="Style19" w:customStyle="1">
    <w:name w:val="Основной текст с отступом Знак"/>
    <w:basedOn w:val="DefaultParagraphFont"/>
    <w:qFormat/>
    <w:rsid w:val="00394980"/>
    <w:rPr>
      <w:sz w:val="24"/>
      <w:szCs w:val="24"/>
    </w:rPr>
  </w:style>
  <w:style w:type="character" w:styleId="23" w:customStyle="1">
    <w:name w:val="Основной текст с отступом 2 Знак"/>
    <w:basedOn w:val="DefaultParagraphFont"/>
    <w:link w:val="BodyTextIndent2"/>
    <w:qFormat/>
    <w:rsid w:val="00394980"/>
    <w:rPr>
      <w:sz w:val="28"/>
      <w:szCs w:val="28"/>
    </w:rPr>
  </w:style>
  <w:style w:type="character" w:styleId="24" w:customStyle="1">
    <w:name w:val="Основной текст 2 Знак"/>
    <w:basedOn w:val="DefaultParagraphFont"/>
    <w:link w:val="BodyText2"/>
    <w:qFormat/>
    <w:rsid w:val="00394980"/>
    <w:rPr>
      <w:sz w:val="28"/>
      <w:szCs w:val="28"/>
    </w:rPr>
  </w:style>
  <w:style w:type="character" w:styleId="Style20" w:customStyle="1">
    <w:name w:val="Ссылка указателя"/>
    <w:qFormat/>
    <w:rPr/>
  </w:style>
  <w:style w:type="character" w:styleId="WW8Num6z0" w:customStyle="1">
    <w:name w:val="WW8Num6z0"/>
    <w:qFormat/>
    <w:rPr>
      <w:b/>
      <w:bCs w:val="false"/>
      <w:sz w:val="24"/>
      <w:szCs w:val="24"/>
    </w:rPr>
  </w:style>
  <w:style w:type="character" w:styleId="WW8Num6z1" w:customStyle="1">
    <w:name w:val="WW8Num6z1"/>
    <w:qFormat/>
    <w:rPr>
      <w:b w:val="false"/>
      <w:bCs/>
      <w:sz w:val="24"/>
      <w:szCs w:val="24"/>
    </w:rPr>
  </w:style>
  <w:style w:type="character" w:styleId="WW8Num6z2" w:customStyle="1">
    <w:name w:val="WW8Num6z2"/>
    <w:qFormat/>
    <w:rPr>
      <w:sz w:val="24"/>
      <w:szCs w:val="24"/>
    </w:rPr>
  </w:style>
  <w:style w:type="character" w:styleId="25">
    <w:name w:val="Знак примечания2"/>
    <w:qFormat/>
    <w:rPr>
      <w:sz w:val="16"/>
      <w:szCs w:val="16"/>
    </w:rPr>
  </w:style>
  <w:style w:type="character" w:styleId="HTML">
    <w:name w:val="Цитата HTML"/>
    <w:qFormat/>
    <w:rPr>
      <w:i/>
      <w:iCs/>
      <w:lang w:val="ru-RU"/>
    </w:rPr>
  </w:style>
  <w:style w:type="character" w:styleId="Strong">
    <w:name w:val="Strong"/>
    <w:qFormat/>
    <w:rPr>
      <w:b/>
      <w:bCs/>
      <w:lang w:val="ru-RU"/>
    </w:rPr>
  </w:style>
  <w:style w:type="character" w:styleId="HTML1">
    <w:name w:val="Пишущая машинка HTML"/>
    <w:qFormat/>
    <w:rPr>
      <w:rFonts w:ascii="Courier New" w:hAnsi="Courier New" w:cs="Courier New"/>
      <w:sz w:val="20"/>
      <w:szCs w:val="20"/>
      <w:lang w:val="ru-RU"/>
    </w:rPr>
  </w:style>
  <w:style w:type="character" w:styleId="HTML2">
    <w:name w:val="Переменный HTML"/>
    <w:qFormat/>
    <w:rPr>
      <w:i/>
      <w:iCs/>
      <w:lang w:val="ru-RU"/>
    </w:rPr>
  </w:style>
  <w:style w:type="character" w:styleId="HTML3">
    <w:name w:val="Определение HTML"/>
    <w:qFormat/>
    <w:rPr>
      <w:i/>
      <w:iCs/>
      <w:lang w:val="ru-RU"/>
    </w:rPr>
  </w:style>
  <w:style w:type="character" w:styleId="HTML4">
    <w:name w:val="Образец HTML"/>
    <w:qFormat/>
    <w:rPr>
      <w:rFonts w:ascii="Courier New" w:hAnsi="Courier New" w:cs="Courier New"/>
      <w:lang w:val="ru-RU"/>
    </w:rPr>
  </w:style>
  <w:style w:type="character" w:styleId="LineNumber">
    <w:name w:val="Line Number"/>
    <w:basedOn w:val="15"/>
    <w:rPr/>
  </w:style>
  <w:style w:type="character" w:styleId="HTML5">
    <w:name w:val="Код HTML"/>
    <w:qFormat/>
    <w:rPr>
      <w:rFonts w:ascii="Courier New" w:hAnsi="Courier New" w:cs="Courier New"/>
      <w:sz w:val="20"/>
      <w:szCs w:val="20"/>
      <w:lang w:val="ru-RU"/>
    </w:rPr>
  </w:style>
  <w:style w:type="character" w:styleId="HTML6">
    <w:name w:val="Клавиатура HTML"/>
    <w:qFormat/>
    <w:rPr>
      <w:rFonts w:ascii="Courier New" w:hAnsi="Courier New" w:cs="Courier New"/>
      <w:sz w:val="20"/>
      <w:szCs w:val="20"/>
      <w:lang w:val="ru-RU"/>
    </w:rPr>
  </w:style>
  <w:style w:type="character" w:styleId="14">
    <w:name w:val="Знак примечания1"/>
    <w:qFormat/>
    <w:rPr>
      <w:sz w:val="16"/>
      <w:szCs w:val="16"/>
      <w:lang w:val="ru-RU"/>
    </w:rPr>
  </w:style>
  <w:style w:type="character" w:styleId="Style21">
    <w:name w:val="Символы концевой сноски"/>
    <w:qFormat/>
    <w:rPr>
      <w:vertAlign w:val="superscript"/>
      <w:lang w:val="ru-RU"/>
    </w:rPr>
  </w:style>
  <w:style w:type="character" w:styleId="HTML7">
    <w:name w:val="Акроним HTML"/>
    <w:basedOn w:val="15"/>
    <w:qFormat/>
    <w:rPr/>
  </w:style>
  <w:style w:type="character" w:styleId="Style22">
    <w:name w:val="Надстрочный"/>
    <w:qFormat/>
    <w:rPr>
      <w:b/>
      <w:vertAlign w:val="superscript"/>
    </w:rPr>
  </w:style>
  <w:style w:type="character" w:styleId="PageNumber">
    <w:name w:val="Page Number"/>
    <w:rPr>
      <w:sz w:val="18"/>
    </w:rPr>
  </w:style>
  <w:style w:type="character" w:styleId="Style23">
    <w:name w:val="Заголовок сообщения (текст)"/>
    <w:qFormat/>
    <w:rPr>
      <w:rFonts w:ascii="Arial Black" w:hAnsi="Arial Black" w:cs="Arial Black"/>
      <w:spacing w:val="-10"/>
      <w:sz w:val="18"/>
    </w:rPr>
  </w:style>
  <w:style w:type="character" w:styleId="15">
    <w:name w:val="Основной шрифт абзаца1"/>
    <w:qFormat/>
    <w:rPr>
      <w:lang w:val="ru-RU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26">
    <w:name w:val="Основной шрифт абзаца2"/>
    <w:qFormat/>
    <w:rPr/>
  </w:style>
  <w:style w:type="character" w:styleId="WW8Num35z0">
    <w:name w:val="WW8Num35z0"/>
    <w:qFormat/>
    <w:rPr/>
  </w:style>
  <w:style w:type="character" w:styleId="WW8Num34z0">
    <w:name w:val="WW8Num34z0"/>
    <w:qFormat/>
    <w:rPr/>
  </w:style>
  <w:style w:type="character" w:styleId="WW8Num32z0">
    <w:name w:val="WW8Num32z0"/>
    <w:qFormat/>
    <w:rPr/>
  </w:style>
  <w:style w:type="character" w:styleId="WW8Num31z0">
    <w:name w:val="WW8Num31z0"/>
    <w:qFormat/>
    <w:rPr/>
  </w:style>
  <w:style w:type="character" w:styleId="WW8Num30z0">
    <w:name w:val="WW8Num30z0"/>
    <w:qFormat/>
    <w:rPr/>
  </w:style>
  <w:style w:type="character" w:styleId="WW8Num29z0">
    <w:name w:val="WW8Num29z0"/>
    <w:qFormat/>
    <w:rPr/>
  </w:style>
  <w:style w:type="character" w:styleId="WW8Num28z0">
    <w:name w:val="WW8Num28z0"/>
    <w:qFormat/>
    <w:rPr/>
  </w:style>
  <w:style w:type="character" w:styleId="WW8Num27z0">
    <w:name w:val="WW8Num27z0"/>
    <w:qFormat/>
    <w:rPr/>
  </w:style>
  <w:style w:type="character" w:styleId="WW8Num26z0">
    <w:name w:val="WW8Num26z0"/>
    <w:qFormat/>
    <w:rPr/>
  </w:style>
  <w:style w:type="character" w:styleId="WW8Num25z0">
    <w:name w:val="WW8Num25z0"/>
    <w:qFormat/>
    <w:rPr/>
  </w:style>
  <w:style w:type="character" w:styleId="WW8Num24z0">
    <w:name w:val="WW8Num24z0"/>
    <w:qFormat/>
    <w:rPr/>
  </w:style>
  <w:style w:type="character" w:styleId="WW8Num23z0">
    <w:name w:val="WW8Num23z0"/>
    <w:qFormat/>
    <w:rPr/>
  </w:style>
  <w:style w:type="character" w:styleId="WW8Num22z3">
    <w:name w:val="WW8Num22z3"/>
    <w:qFormat/>
    <w:rPr>
      <w:rFonts w:ascii="Symbol" w:hAnsi="Symbol" w:cs="Symbol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0">
    <w:name w:val="WW8Num22z0"/>
    <w:qFormat/>
    <w:rPr>
      <w:rFonts w:ascii="Symbol" w:hAnsi="Symbol" w:eastAsia="Times New Roman" w:cs="Times New Roman"/>
    </w:rPr>
  </w:style>
  <w:style w:type="character" w:styleId="WW8Num21z0">
    <w:name w:val="WW8Num21z0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0">
    <w:name w:val="WW8Num18z0"/>
    <w:qFormat/>
    <w:rPr/>
  </w:style>
  <w:style w:type="character" w:styleId="WW8Num17z0">
    <w:name w:val="WW8Num17z0"/>
    <w:qFormat/>
    <w:rPr/>
  </w:style>
  <w:style w:type="character" w:styleId="WW8Num16z0">
    <w:name w:val="WW8Num16z0"/>
    <w:qFormat/>
    <w:rPr/>
  </w:style>
  <w:style w:type="character" w:styleId="WW8Num15z0">
    <w:name w:val="WW8Num15z0"/>
    <w:qFormat/>
    <w:rPr>
      <w:sz w:val="28"/>
    </w:rPr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FootnoteCharacters">
    <w:name w:val="Footnote Characters"/>
    <w:qFormat/>
    <w:rPr>
      <w:vertAlign w:val="superscript"/>
    </w:rPr>
  </w:style>
  <w:style w:type="paragraph" w:styleId="Style2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link w:val="13"/>
    <w:uiPriority w:val="10"/>
    <w:qFormat/>
    <w:rsid w:val="00bc45fd"/>
    <w:pPr>
      <w:spacing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GB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Style26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7" w:customStyle="1">
    <w:name w:val="Раздел положения"/>
    <w:basedOn w:val="Normal"/>
    <w:autoRedefine/>
    <w:qFormat/>
    <w:rsid w:val="007475ee"/>
    <w:pPr>
      <w:numPr>
        <w:ilvl w:val="0"/>
        <w:numId w:val="5"/>
      </w:numPr>
      <w:spacing w:before="80" w:after="80"/>
      <w:jc w:val="center"/>
    </w:pPr>
    <w:rPr>
      <w:b/>
      <w:sz w:val="32"/>
      <w:szCs w:val="32"/>
    </w:rPr>
  </w:style>
  <w:style w:type="paragraph" w:styleId="Style28" w:customStyle="1">
    <w:name w:val="Подраздел раздела положения"/>
    <w:basedOn w:val="Normal"/>
    <w:autoRedefine/>
    <w:qFormat/>
    <w:rsid w:val="007475ee"/>
    <w:pPr>
      <w:numPr>
        <w:ilvl w:val="1"/>
        <w:numId w:val="5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6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7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4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7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link w:val="Style19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7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3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3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link w:val="24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30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8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b3eb1"/>
    <w:pPr>
      <w:tabs>
        <w:tab w:val="clear" w:pos="708"/>
        <w:tab w:val="right" w:pos="9911" w:leader="dot"/>
      </w:tabs>
      <w:spacing w:before="120" w:after="0"/>
    </w:pPr>
    <w:rPr>
      <w:rFonts w:cs="Calibri Light (Заголовки)"/>
      <w:b/>
      <w:bCs/>
      <w:color w:val="FF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color w:val="FF0000"/>
      <w:sz w:val="24"/>
      <w:szCs w:val="24"/>
    </w:rPr>
  </w:style>
  <w:style w:type="paragraph" w:styleId="Style31" w:customStyle="1">
    <w:name w:val="Раздел регламента"/>
    <w:basedOn w:val="Normal"/>
    <w:qFormat/>
    <w:rsid w:val="00e228fa"/>
    <w:pPr/>
    <w:rPr/>
  </w:style>
  <w:style w:type="paragraph" w:styleId="Style32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link w:val="Style14"/>
    <w:uiPriority w:val="99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6"/>
    <w:qFormat/>
    <w:rsid w:val="00b714b0"/>
    <w:pPr/>
    <w:rPr>
      <w:b/>
      <w:bCs/>
    </w:rPr>
  </w:style>
  <w:style w:type="paragraph" w:styleId="18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eb3eb1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iCs/>
      <w:color w:val="FF0000"/>
      <w:sz w:val="24"/>
      <w:szCs w:val="24"/>
    </w:rPr>
  </w:style>
  <w:style w:type="paragraph" w:styleId="29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3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4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4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5" w:customStyle="1">
    <w:name w:val="Нумерованный список ур3"/>
    <w:basedOn w:val="Normal"/>
    <w:qFormat/>
    <w:rsid w:val="00d22f6d"/>
    <w:pPr>
      <w:numPr>
        <w:ilvl w:val="2"/>
        <w:numId w:val="6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10" w:customStyle="1">
    <w:name w:val="Нумерованный список ур2"/>
    <w:basedOn w:val="Normal"/>
    <w:qFormat/>
    <w:rsid w:val="00d22f6d"/>
    <w:pPr>
      <w:numPr>
        <w:ilvl w:val="1"/>
        <w:numId w:val="6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6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5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9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36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7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8" w:customStyle="1">
    <w:name w:val="Подподпункт"/>
    <w:basedOn w:val="Style30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9" w:customStyle="1">
    <w:name w:val="УРОВЕНЬ_(а)"/>
    <w:basedOn w:val="ListParagraph"/>
    <w:qFormat/>
    <w:rsid w:val="00b56f46"/>
    <w:pPr>
      <w:numPr>
        <w:ilvl w:val="3"/>
        <w:numId w:val="7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7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11" w:customStyle="1">
    <w:name w:val="УРОВЕНЬ_Абзац_тип2"/>
    <w:basedOn w:val="ListParagraph"/>
    <w:qFormat/>
    <w:rsid w:val="00b56f46"/>
    <w:pPr>
      <w:numPr>
        <w:ilvl w:val="6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7" w:customStyle="1">
    <w:name w:val="УРОВЕНЬ_Абзац_тип3"/>
    <w:basedOn w:val="ListParagraph"/>
    <w:link w:val="31"/>
    <w:qFormat/>
    <w:rsid w:val="00b56f46"/>
    <w:pPr>
      <w:numPr>
        <w:ilvl w:val="7"/>
        <w:numId w:val="7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0" w:customStyle="1">
    <w:name w:val="УРОВЕНЬ_Подпись"/>
    <w:basedOn w:val="ListParagraph"/>
    <w:qFormat/>
    <w:rsid w:val="00b56f46"/>
    <w:pPr>
      <w:keepNext w:val="true"/>
      <w:numPr>
        <w:ilvl w:val="5"/>
        <w:numId w:val="7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10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12" w:customStyle="1">
    <w:name w:val="Заголовок 2 КВВ"/>
    <w:basedOn w:val="Normal"/>
    <w:qFormat/>
    <w:rsid w:val="00cb35e8"/>
    <w:pPr>
      <w:keepNext w:val="true"/>
      <w:numPr>
        <w:ilvl w:val="0"/>
        <w:numId w:val="8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1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1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Default" w:customStyle="1">
    <w:name w:val="Default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val="ru-RU" w:eastAsia="en-US" w:bidi="ar-SA"/>
    </w:rPr>
  </w:style>
  <w:style w:type="paragraph" w:styleId="112" w:customStyle="1">
    <w:name w:val="Обычный1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PlainText">
    <w:name w:val="Plain Text"/>
    <w:basedOn w:val="Normal"/>
    <w:link w:val="Style15"/>
    <w:unhideWhenUsed/>
    <w:qFormat/>
    <w:rsid w:val="00bc45fd"/>
    <w:pPr/>
    <w:rPr>
      <w:rFonts w:ascii="Consolas" w:hAnsi="Consolas" w:eastAsia="Calibri"/>
      <w:sz w:val="21"/>
      <w:szCs w:val="21"/>
      <w:lang w:val="en-GB" w:eastAsia="en-US"/>
    </w:rPr>
  </w:style>
  <w:style w:type="paragraph" w:styleId="Style42" w:customStyle="1">
    <w:name w:val="Подпункт договора"/>
    <w:basedOn w:val="Normal"/>
    <w:qFormat/>
    <w:rsid w:val="00bc45fd"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</w:rPr>
  </w:style>
  <w:style w:type="paragraph" w:styleId="Style43" w:customStyle="1">
    <w:name w:val="Пункт договора"/>
    <w:basedOn w:val="Normal"/>
    <w:qFormat/>
    <w:rsid w:val="00bc45fd"/>
    <w:pPr>
      <w:widowControl w:val="false"/>
      <w:jc w:val="both"/>
    </w:pPr>
    <w:rPr>
      <w:rFonts w:ascii="Arial" w:hAnsi="Arial"/>
      <w:sz w:val="20"/>
      <w:szCs w:val="20"/>
    </w:rPr>
  </w:style>
  <w:style w:type="paragraph" w:styleId="Style44" w:customStyle="1">
    <w:name w:val="Раздел договора"/>
    <w:basedOn w:val="Normal"/>
    <w:next w:val="Style43"/>
    <w:qFormat/>
    <w:rsid w:val="00bc45fd"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</w:rPr>
  </w:style>
  <w:style w:type="paragraph" w:styleId="ConsNormal" w:customStyle="1">
    <w:name w:val="ConsNormal"/>
    <w:qFormat/>
    <w:rsid w:val="00bc45fd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113" w:customStyle="1">
    <w:name w:val="Знак Знак Знак Знак Знак Знак Знак Знак Знак1"/>
    <w:basedOn w:val="Normal"/>
    <w:qFormat/>
    <w:rsid w:val="00bc45fd"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114" w:customStyle="1">
    <w:name w:val="Текст1"/>
    <w:basedOn w:val="Normal"/>
    <w:qFormat/>
    <w:rsid w:val="00bc45fd"/>
    <w:pPr>
      <w:spacing w:before="0" w:after="120"/>
      <w:jc w:val="both"/>
    </w:pPr>
    <w:rPr>
      <w:rFonts w:ascii="Courier New" w:hAnsi="Courier New"/>
      <w:sz w:val="22"/>
      <w:szCs w:val="20"/>
      <w:lang w:eastAsia="en-US"/>
    </w:rPr>
  </w:style>
  <w:style w:type="paragraph" w:styleId="213" w:customStyle="1">
    <w:name w:val="Обычный2"/>
    <w:qFormat/>
    <w:rsid w:val="00bc45f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15" w:customStyle="1">
    <w:name w:val="Заголовок1"/>
    <w:basedOn w:val="Normal"/>
    <w:next w:val="Normal"/>
    <w:link w:val="Style18"/>
    <w:uiPriority w:val="10"/>
    <w:qFormat/>
    <w:rsid w:val="00bc45fd"/>
    <w:pPr>
      <w:spacing w:before="0" w:after="0"/>
      <w:contextualSpacing/>
    </w:pPr>
    <w:rPr>
      <w:rFonts w:ascii="Calibri Light" w:hAnsi="Calibri Light"/>
      <w:spacing w:val="-10"/>
      <w:kern w:val="2"/>
      <w:sz w:val="56"/>
      <w:szCs w:val="56"/>
      <w:lang w:val="en-GB" w:eastAsia="en-US"/>
    </w:rPr>
  </w:style>
  <w:style w:type="paragraph" w:styleId="Msonormal" w:customStyle="1">
    <w:name w:val="msonormal"/>
    <w:basedOn w:val="Normal"/>
    <w:qFormat/>
    <w:rsid w:val="00bc45fd"/>
    <w:pPr>
      <w:spacing w:beforeAutospacing="1" w:afterAutospacing="1"/>
    </w:pPr>
    <w:rPr>
      <w:rFonts w:ascii="Arial" w:hAnsi="Arial" w:eastAsia="Arial Unicode MS" w:cs="Arial"/>
      <w:color w:val="000000"/>
      <w:sz w:val="16"/>
      <w:szCs w:val="16"/>
    </w:rPr>
  </w:style>
  <w:style w:type="paragraph" w:styleId="Style45" w:customStyle="1">
    <w:name w:val="[РГ] Текст"/>
    <w:basedOn w:val="Normal"/>
    <w:qFormat/>
    <w:rsid w:val="00515014"/>
    <w:pPr>
      <w:spacing w:before="120" w:after="0"/>
      <w:jc w:val="both"/>
    </w:pPr>
    <w:rPr>
      <w:rFonts w:eastAsia="Calibri" w:eastAsiaTheme="minorHAnsi"/>
      <w:color w:val="000000"/>
      <w:sz w:val="26"/>
      <w:szCs w:val="26"/>
      <w:lang w:eastAsia="en-US"/>
    </w:rPr>
  </w:style>
  <w:style w:type="paragraph" w:styleId="Xl65" w:customStyle="1">
    <w:name w:val="xl65"/>
    <w:basedOn w:val="Normal"/>
    <w:qFormat/>
    <w:rsid w:val="00394980"/>
    <w:pP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6" w:customStyle="1">
    <w:name w:val="xl66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7" w:customStyle="1">
    <w:name w:val="xl67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68" w:customStyle="1">
    <w:name w:val="xl68"/>
    <w:basedOn w:val="Normal"/>
    <w:qFormat/>
    <w:rsid w:val="0039498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69" w:customStyle="1">
    <w:name w:val="xl69"/>
    <w:basedOn w:val="Normal"/>
    <w:qFormat/>
    <w:rsid w:val="00394980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0" w:customStyle="1">
    <w:name w:val="xl70"/>
    <w:basedOn w:val="Normal"/>
    <w:qFormat/>
    <w:rsid w:val="00394980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sz w:val="24"/>
      <w:szCs w:val="24"/>
    </w:rPr>
  </w:style>
  <w:style w:type="paragraph" w:styleId="Xl71" w:customStyle="1">
    <w:name w:val="xl71"/>
    <w:basedOn w:val="Normal"/>
    <w:qFormat/>
    <w:rsid w:val="0039498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4"/>
      <w:szCs w:val="24"/>
    </w:rPr>
  </w:style>
  <w:style w:type="paragraph" w:styleId="Xl72" w:customStyle="1">
    <w:name w:val="xl72"/>
    <w:basedOn w:val="Normal"/>
    <w:qFormat/>
    <w:rsid w:val="00394980"/>
    <w:pPr>
      <w:pBdr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Xl73" w:customStyle="1">
    <w:name w:val="xl73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4" w:customStyle="1">
    <w:name w:val="xl74"/>
    <w:basedOn w:val="Normal"/>
    <w:qFormat/>
    <w:rsid w:val="00394980"/>
    <w:pPr>
      <w:pBdr>
        <w:left w:val="single" w:sz="4" w:space="0" w:color="00206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5" w:customStyle="1">
    <w:name w:val="xl75"/>
    <w:basedOn w:val="Normal"/>
    <w:qFormat/>
    <w:rsid w:val="00394980"/>
    <w:pPr>
      <w:pBdr>
        <w:top w:val="single" w:sz="4" w:space="0" w:color="002060"/>
        <w:left w:val="single" w:sz="4" w:space="0" w:color="000000"/>
        <w:bottom w:val="single" w:sz="4" w:space="0" w:color="002060"/>
        <w:right w:val="single" w:sz="4" w:space="0" w:color="002060"/>
      </w:pBdr>
      <w:shd w:val="clear" w:color="000000" w:fill="FFFFFF"/>
      <w:spacing w:beforeAutospacing="1" w:afterAutospacing="1"/>
      <w:textAlignment w:val="center"/>
    </w:pPr>
    <w:rPr>
      <w:sz w:val="20"/>
      <w:szCs w:val="20"/>
    </w:rPr>
  </w:style>
  <w:style w:type="paragraph" w:styleId="Style46" w:customStyle="1">
    <w:name w:val="Содержимое врезки"/>
    <w:basedOn w:val="Normal"/>
    <w:qFormat/>
    <w:pPr/>
    <w:rPr/>
  </w:style>
  <w:style w:type="paragraph" w:styleId="Style47" w:customStyle="1">
    <w:name w:val="Содержимое таблицы"/>
    <w:basedOn w:val="Normal"/>
    <w:qFormat/>
    <w:pPr>
      <w:suppressLineNumbers/>
    </w:pPr>
    <w:rPr/>
  </w:style>
  <w:style w:type="paragraph" w:styleId="Style48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Style49" w:customStyle="1">
    <w:name w:val="Заголовок таблицы"/>
    <w:basedOn w:val="Style47"/>
    <w:qFormat/>
    <w:pPr>
      <w:jc w:val="center"/>
    </w:pPr>
    <w:rPr>
      <w:b/>
      <w:bCs/>
    </w:rPr>
  </w:style>
  <w:style w:type="paragraph" w:styleId="Style50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51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spacing w:val="-5"/>
      <w:kern w:val="0"/>
      <w:sz w:val="20"/>
      <w:szCs w:val="20"/>
      <w:lang w:val="ru-RU" w:eastAsia="zh-CN" w:bidi="ar-SA"/>
    </w:rPr>
  </w:style>
  <w:style w:type="paragraph" w:styleId="Style52">
    <w:name w:val="Тема примечания"/>
    <w:basedOn w:val="214"/>
    <w:next w:val="214"/>
    <w:qFormat/>
    <w:pPr/>
    <w:rPr>
      <w:b/>
      <w:bCs/>
    </w:rPr>
  </w:style>
  <w:style w:type="paragraph" w:styleId="214">
    <w:name w:val="Текст примечания2"/>
    <w:basedOn w:val="Normal"/>
    <w:qFormat/>
    <w:pPr/>
    <w:rPr/>
  </w:style>
  <w:style w:type="paragraph" w:styleId="Style5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54">
    <w:name w:val="Электронная подпись"/>
    <w:basedOn w:val="Normal"/>
    <w:qFormat/>
    <w:pPr/>
    <w:rPr/>
  </w:style>
  <w:style w:type="paragraph" w:styleId="116">
    <w:name w:val="Цитата1"/>
    <w:basedOn w:val="Normal"/>
    <w:qFormat/>
    <w:pPr>
      <w:spacing w:before="0" w:after="120"/>
      <w:ind w:left="1440" w:right="1440" w:hanging="0"/>
    </w:pPr>
    <w:rPr/>
  </w:style>
  <w:style w:type="paragraph" w:styleId="91">
    <w:name w:val="Указатель 91"/>
    <w:basedOn w:val="Normal"/>
    <w:next w:val="Normal"/>
    <w:qFormat/>
    <w:pPr>
      <w:ind w:left="1800" w:right="835" w:hanging="200"/>
    </w:pPr>
    <w:rPr/>
  </w:style>
  <w:style w:type="paragraph" w:styleId="81">
    <w:name w:val="Указатель 81"/>
    <w:basedOn w:val="Normal"/>
    <w:next w:val="Normal"/>
    <w:qFormat/>
    <w:pPr>
      <w:ind w:left="1600" w:right="835" w:hanging="200"/>
    </w:pPr>
    <w:rPr/>
  </w:style>
  <w:style w:type="paragraph" w:styleId="71">
    <w:name w:val="Указатель 71"/>
    <w:basedOn w:val="Normal"/>
    <w:next w:val="Normal"/>
    <w:qFormat/>
    <w:pPr>
      <w:ind w:left="1400" w:right="835" w:hanging="200"/>
    </w:pPr>
    <w:rPr/>
  </w:style>
  <w:style w:type="paragraph" w:styleId="61">
    <w:name w:val="Указатель 61"/>
    <w:basedOn w:val="Normal"/>
    <w:next w:val="Normal"/>
    <w:qFormat/>
    <w:pPr>
      <w:ind w:left="1200" w:right="835" w:hanging="200"/>
    </w:pPr>
    <w:rPr/>
  </w:style>
  <w:style w:type="paragraph" w:styleId="51">
    <w:name w:val="Указатель 51"/>
    <w:basedOn w:val="Normal"/>
    <w:next w:val="Normal"/>
    <w:qFormat/>
    <w:pPr>
      <w:ind w:left="1000" w:right="835" w:hanging="200"/>
    </w:pPr>
    <w:rPr/>
  </w:style>
  <w:style w:type="paragraph" w:styleId="411">
    <w:name w:val="Указатель 41"/>
    <w:basedOn w:val="Normal"/>
    <w:next w:val="Normal"/>
    <w:qFormat/>
    <w:pPr>
      <w:ind w:left="800" w:right="835" w:hanging="200"/>
    </w:pPr>
    <w:rPr/>
  </w:style>
  <w:style w:type="paragraph" w:styleId="Index3">
    <w:name w:val="Index 3"/>
    <w:basedOn w:val="Normal"/>
    <w:next w:val="Normal"/>
    <w:pPr>
      <w:ind w:left="600" w:right="835" w:hanging="200"/>
    </w:pPr>
    <w:rPr/>
  </w:style>
  <w:style w:type="paragraph" w:styleId="Index2">
    <w:name w:val="Index 2"/>
    <w:basedOn w:val="Normal"/>
    <w:next w:val="Normal"/>
    <w:pPr>
      <w:ind w:left="400" w:right="835" w:hanging="200"/>
    </w:pPr>
    <w:rPr/>
  </w:style>
  <w:style w:type="paragraph" w:styleId="Index1">
    <w:name w:val="Index 1"/>
    <w:basedOn w:val="Normal"/>
    <w:next w:val="Normal"/>
    <w:pPr>
      <w:ind w:left="200" w:right="835" w:hanging="200"/>
    </w:pPr>
    <w:rPr/>
  </w:style>
  <w:style w:type="paragraph" w:styleId="117">
    <w:name w:val="Текст примечания1"/>
    <w:basedOn w:val="Normal"/>
    <w:qFormat/>
    <w:pPr/>
    <w:rPr/>
  </w:style>
  <w:style w:type="paragraph" w:styleId="118">
    <w:name w:val="Текст макроса1"/>
    <w:qFormat/>
    <w:pPr>
      <w:widowControl/>
      <w:tabs>
        <w:tab w:val="clear" w:pos="708"/>
        <w:tab w:val="left" w:pos="2150" w:leader="none"/>
        <w:tab w:val="left" w:pos="2630" w:leader="none"/>
        <w:tab w:val="left" w:pos="3110" w:leader="none"/>
        <w:tab w:val="left" w:pos="3590" w:leader="none"/>
        <w:tab w:val="left" w:pos="4070" w:leader="none"/>
        <w:tab w:val="left" w:pos="4550" w:leader="none"/>
        <w:tab w:val="left" w:pos="5030" w:leader="none"/>
        <w:tab w:val="left" w:pos="5510" w:leader="none"/>
        <w:tab w:val="left" w:pos="5990" w:leader="none"/>
      </w:tabs>
      <w:suppressAutoHyphens w:val="true"/>
      <w:bidi w:val="0"/>
      <w:spacing w:before="0" w:after="0"/>
      <w:ind w:left="835" w:right="835" w:hanging="0"/>
      <w:jc w:val="left"/>
    </w:pPr>
    <w:rPr>
      <w:rFonts w:ascii="Courier New" w:hAnsi="Courier New" w:eastAsia="Arial" w:cs="Courier New"/>
      <w:color w:val="auto"/>
      <w:spacing w:val="-5"/>
      <w:kern w:val="0"/>
      <w:sz w:val="20"/>
      <w:szCs w:val="20"/>
      <w:lang w:val="ru-RU" w:eastAsia="zh-CN" w:bidi="ar-SA"/>
    </w:rPr>
  </w:style>
  <w:style w:type="paragraph" w:styleId="119">
    <w:name w:val="Таблица ссылок1"/>
    <w:basedOn w:val="Normal"/>
    <w:next w:val="Normal"/>
    <w:qFormat/>
    <w:pPr>
      <w:ind w:left="200" w:right="835" w:hanging="200"/>
    </w:pPr>
    <w:rPr/>
  </w:style>
  <w:style w:type="paragraph" w:styleId="120">
    <w:name w:val="Схема документа1"/>
    <w:basedOn w:val="Normal"/>
    <w:qFormat/>
    <w:pPr>
      <w:shd w:val="clear" w:fill="000080"/>
    </w:pPr>
    <w:rPr>
      <w:rFonts w:ascii="Tahoma" w:hAnsi="Tahoma" w:cs="Tahoma"/>
    </w:rPr>
  </w:style>
  <w:style w:type="paragraph" w:styleId="HTML8">
    <w:name w:val="Стандартный HTML"/>
    <w:basedOn w:val="Normal"/>
    <w:qFormat/>
    <w:pPr/>
    <w:rPr>
      <w:rFonts w:ascii="Courier New" w:hAnsi="Courier New" w:cs="Courier New"/>
    </w:rPr>
  </w:style>
  <w:style w:type="paragraph" w:styleId="121">
    <w:name w:val="Приветствие1"/>
    <w:basedOn w:val="Normal"/>
    <w:next w:val="Normal"/>
    <w:qFormat/>
    <w:pPr/>
    <w:rPr/>
  </w:style>
  <w:style w:type="paragraph" w:styleId="122">
    <w:name w:val="Перечень рисунков1"/>
    <w:basedOn w:val="Normal"/>
    <w:next w:val="Normal"/>
    <w:qFormat/>
    <w:pPr>
      <w:ind w:left="400" w:right="835" w:hanging="400"/>
    </w:pPr>
    <w:rPr/>
  </w:style>
  <w:style w:type="paragraph" w:styleId="311">
    <w:name w:val="Основной текст с отступом 31"/>
    <w:basedOn w:val="Normal"/>
    <w:qFormat/>
    <w:pPr>
      <w:spacing w:before="0" w:after="120"/>
      <w:ind w:left="283" w:right="835" w:hanging="0"/>
    </w:pPr>
    <w:rPr>
      <w:sz w:val="16"/>
      <w:szCs w:val="16"/>
    </w:rPr>
  </w:style>
  <w:style w:type="paragraph" w:styleId="215">
    <w:name w:val="Основной текст с отступом 21"/>
    <w:basedOn w:val="Normal"/>
    <w:qFormat/>
    <w:pPr>
      <w:spacing w:lineRule="auto" w:line="480" w:before="0" w:after="120"/>
      <w:ind w:left="283" w:right="835" w:hanging="0"/>
    </w:pPr>
    <w:rPr/>
  </w:style>
  <w:style w:type="paragraph" w:styleId="312">
    <w:name w:val="Основной текст 31"/>
    <w:basedOn w:val="Normal"/>
    <w:qFormat/>
    <w:pPr>
      <w:spacing w:before="0" w:after="120"/>
    </w:pPr>
    <w:rPr>
      <w:sz w:val="16"/>
      <w:szCs w:val="16"/>
    </w:rPr>
  </w:style>
  <w:style w:type="paragraph" w:styleId="216">
    <w:name w:val="Основной текст 21"/>
    <w:basedOn w:val="Normal"/>
    <w:qFormat/>
    <w:pPr>
      <w:spacing w:lineRule="auto" w:line="480" w:before="0" w:after="120"/>
    </w:pPr>
    <w:rPr/>
  </w:style>
  <w:style w:type="paragraph" w:styleId="Style55">
    <w:name w:val="Обычный (веб)"/>
    <w:basedOn w:val="Normal"/>
    <w:qFormat/>
    <w:pPr/>
    <w:rPr>
      <w:rFonts w:ascii="Times New Roman" w:hAnsi="Times New Roman" w:cs="Times New Roman"/>
      <w:sz w:val="24"/>
      <w:szCs w:val="24"/>
    </w:rPr>
  </w:style>
  <w:style w:type="paragraph" w:styleId="EnvelopeReturn">
    <w:name w:val="Envelope Return"/>
    <w:basedOn w:val="Normal"/>
    <w:pPr/>
    <w:rPr>
      <w:rFonts w:cs="Arial"/>
    </w:rPr>
  </w:style>
  <w:style w:type="paragraph" w:styleId="123">
    <w:name w:val="Название объекта1"/>
    <w:basedOn w:val="Normal"/>
    <w:next w:val="Normal"/>
    <w:qFormat/>
    <w:pPr>
      <w:spacing w:before="120" w:after="120"/>
    </w:pPr>
    <w:rPr>
      <w:b/>
      <w:bCs/>
    </w:rPr>
  </w:style>
  <w:style w:type="paragraph" w:styleId="WW-">
    <w:name w:val="WW-Заголовок"/>
    <w:basedOn w:val="Normal"/>
    <w:next w:val="Subtitle"/>
    <w:qFormat/>
    <w:pPr>
      <w:spacing w:before="240" w:after="60"/>
      <w:jc w:val="center"/>
    </w:pPr>
    <w:rPr>
      <w:rFonts w:cs="Arial"/>
      <w:b/>
      <w:bCs/>
      <w:kern w:val="2"/>
      <w:sz w:val="32"/>
      <w:szCs w:val="32"/>
    </w:rPr>
  </w:style>
  <w:style w:type="paragraph" w:styleId="217">
    <w:name w:val="Красная строка 21"/>
    <w:basedOn w:val="BodyTextIndent"/>
    <w:qFormat/>
    <w:pPr>
      <w:ind w:left="283" w:right="835" w:firstLine="210"/>
    </w:pPr>
    <w:rPr/>
  </w:style>
  <w:style w:type="paragraph" w:styleId="124">
    <w:name w:val="Красная строка1"/>
    <w:basedOn w:val="BodyText"/>
    <w:qFormat/>
    <w:pPr>
      <w:spacing w:lineRule="auto" w:line="240" w:before="0" w:after="120"/>
      <w:ind w:left="835" w:right="835" w:firstLine="210"/>
      <w:jc w:val="left"/>
    </w:pPr>
    <w:rPr/>
  </w:style>
  <w:style w:type="paragraph" w:styleId="125">
    <w:name w:val="Заголовок таблицы ссылок1"/>
    <w:basedOn w:val="Normal"/>
    <w:next w:val="Normal"/>
    <w:qFormat/>
    <w:pPr>
      <w:spacing w:before="120" w:after="0"/>
    </w:pPr>
    <w:rPr>
      <w:rFonts w:cs="Arial"/>
      <w:b/>
      <w:bCs/>
      <w:sz w:val="24"/>
      <w:szCs w:val="24"/>
    </w:rPr>
  </w:style>
  <w:style w:type="paragraph" w:styleId="126">
    <w:name w:val="Заголовок записки1"/>
    <w:basedOn w:val="Normal"/>
    <w:next w:val="Normal"/>
    <w:qFormat/>
    <w:pPr/>
    <w:rPr/>
  </w:style>
  <w:style w:type="paragraph" w:styleId="127">
    <w:name w:val="Дата1"/>
    <w:basedOn w:val="Normal"/>
    <w:next w:val="Normal"/>
    <w:qFormat/>
    <w:pPr/>
    <w:rPr/>
  </w:style>
  <w:style w:type="paragraph" w:styleId="EnvelopeAddress">
    <w:name w:val="Envelope Address"/>
    <w:basedOn w:val="Normal"/>
    <w:pPr>
      <w:ind w:left="2880" w:right="835" w:hanging="0"/>
    </w:pPr>
    <w:rPr>
      <w:rFonts w:cs="Arial"/>
      <w:sz w:val="24"/>
      <w:szCs w:val="24"/>
    </w:rPr>
  </w:style>
  <w:style w:type="paragraph" w:styleId="HTML9">
    <w:name w:val="Адрес HTML"/>
    <w:basedOn w:val="Normal"/>
    <w:qFormat/>
    <w:pPr/>
    <w:rPr>
      <w:i/>
      <w:iCs/>
    </w:rPr>
  </w:style>
  <w:style w:type="paragraph" w:styleId="ListNumber5">
    <w:name w:val="List Number 5"/>
    <w:basedOn w:val="Normal"/>
    <w:qFormat/>
    <w:pPr>
      <w:numPr>
        <w:ilvl w:val="0"/>
        <w:numId w:val="11"/>
      </w:numPr>
      <w:ind w:left="2635" w:right="835" w:hanging="0"/>
    </w:pPr>
    <w:rPr/>
  </w:style>
  <w:style w:type="paragraph" w:styleId="ListNumber4">
    <w:name w:val="List Number 4"/>
    <w:basedOn w:val="Normal"/>
    <w:qFormat/>
    <w:pPr>
      <w:numPr>
        <w:ilvl w:val="0"/>
        <w:numId w:val="1"/>
      </w:numPr>
      <w:ind w:left="2275" w:right="835" w:hanging="0"/>
    </w:pPr>
    <w:rPr/>
  </w:style>
  <w:style w:type="paragraph" w:styleId="ListNumber3">
    <w:name w:val="List Number 3"/>
    <w:basedOn w:val="Normal"/>
    <w:qFormat/>
    <w:pPr>
      <w:numPr>
        <w:ilvl w:val="0"/>
        <w:numId w:val="2"/>
      </w:numPr>
      <w:ind w:left="1915" w:right="835" w:hanging="0"/>
    </w:pPr>
    <w:rPr/>
  </w:style>
  <w:style w:type="paragraph" w:styleId="ListNumber2">
    <w:name w:val="List Number 2"/>
    <w:basedOn w:val="Normal"/>
    <w:qFormat/>
    <w:pPr>
      <w:numPr>
        <w:ilvl w:val="0"/>
        <w:numId w:val="3"/>
      </w:numPr>
      <w:ind w:left="1555" w:right="835" w:hanging="0"/>
    </w:pPr>
    <w:rPr/>
  </w:style>
  <w:style w:type="paragraph" w:styleId="128">
    <w:name w:val="Нумерованный список1"/>
    <w:basedOn w:val="Normal"/>
    <w:qFormat/>
    <w:pPr>
      <w:numPr>
        <w:ilvl w:val="0"/>
        <w:numId w:val="14"/>
      </w:numPr>
      <w:ind w:left="1195" w:right="835" w:hanging="0"/>
    </w:pPr>
    <w:rPr/>
  </w:style>
  <w:style w:type="paragraph" w:styleId="511">
    <w:name w:val="Продолжение списка 51"/>
    <w:basedOn w:val="Normal"/>
    <w:qFormat/>
    <w:pPr>
      <w:spacing w:before="0" w:after="120"/>
      <w:ind w:left="2635" w:right="835" w:hanging="0"/>
    </w:pPr>
    <w:rPr/>
  </w:style>
  <w:style w:type="paragraph" w:styleId="412">
    <w:name w:val="Продолжение списка 41"/>
    <w:basedOn w:val="Normal"/>
    <w:qFormat/>
    <w:pPr>
      <w:spacing w:before="0" w:after="120"/>
      <w:ind w:left="2275" w:right="835" w:hanging="0"/>
    </w:pPr>
    <w:rPr/>
  </w:style>
  <w:style w:type="paragraph" w:styleId="313">
    <w:name w:val="Продолжение списка 31"/>
    <w:basedOn w:val="Normal"/>
    <w:qFormat/>
    <w:pPr>
      <w:spacing w:before="0" w:after="120"/>
      <w:ind w:left="1915" w:right="835" w:hanging="0"/>
    </w:pPr>
    <w:rPr/>
  </w:style>
  <w:style w:type="paragraph" w:styleId="218">
    <w:name w:val="Продолжение списка 21"/>
    <w:basedOn w:val="Normal"/>
    <w:qFormat/>
    <w:pPr>
      <w:spacing w:before="0" w:after="120"/>
      <w:ind w:left="1555" w:right="835" w:hanging="0"/>
    </w:pPr>
    <w:rPr/>
  </w:style>
  <w:style w:type="paragraph" w:styleId="129">
    <w:name w:val="Продолжение списка1"/>
    <w:basedOn w:val="Normal"/>
    <w:qFormat/>
    <w:pPr>
      <w:spacing w:before="0" w:after="120"/>
      <w:ind w:left="1195" w:right="835" w:hanging="0"/>
    </w:pPr>
    <w:rPr/>
  </w:style>
  <w:style w:type="paragraph" w:styleId="512">
    <w:name w:val="Маркированный список 51"/>
    <w:basedOn w:val="Normal"/>
    <w:qFormat/>
    <w:pPr>
      <w:numPr>
        <w:ilvl w:val="0"/>
        <w:numId w:val="4"/>
      </w:numPr>
      <w:ind w:left="2635" w:right="835" w:hanging="0"/>
    </w:pPr>
    <w:rPr/>
  </w:style>
  <w:style w:type="paragraph" w:styleId="314">
    <w:name w:val="Маркированный список 31"/>
    <w:basedOn w:val="Normal"/>
    <w:qFormat/>
    <w:pPr>
      <w:numPr>
        <w:ilvl w:val="0"/>
        <w:numId w:val="12"/>
      </w:numPr>
      <w:ind w:left="1915" w:right="835" w:hanging="0"/>
    </w:pPr>
    <w:rPr/>
  </w:style>
  <w:style w:type="paragraph" w:styleId="219">
    <w:name w:val="Маркированный список 21"/>
    <w:basedOn w:val="Normal"/>
    <w:qFormat/>
    <w:pPr>
      <w:numPr>
        <w:ilvl w:val="0"/>
        <w:numId w:val="13"/>
      </w:numPr>
      <w:ind w:left="1555" w:right="835" w:hanging="0"/>
    </w:pPr>
    <w:rPr/>
  </w:style>
  <w:style w:type="paragraph" w:styleId="130">
    <w:name w:val="Маркированный список1"/>
    <w:basedOn w:val="Normal"/>
    <w:qFormat/>
    <w:pPr>
      <w:numPr>
        <w:ilvl w:val="0"/>
        <w:numId w:val="15"/>
      </w:numPr>
      <w:ind w:left="1195" w:right="835" w:hanging="0"/>
    </w:pPr>
    <w:rPr/>
  </w:style>
  <w:style w:type="paragraph" w:styleId="513">
    <w:name w:val="Список 51"/>
    <w:basedOn w:val="Normal"/>
    <w:qFormat/>
    <w:pPr>
      <w:ind w:left="2635" w:right="835" w:hanging="360"/>
    </w:pPr>
    <w:rPr/>
  </w:style>
  <w:style w:type="paragraph" w:styleId="413">
    <w:name w:val="Список 41"/>
    <w:basedOn w:val="Normal"/>
    <w:qFormat/>
    <w:pPr>
      <w:ind w:left="2275" w:right="835" w:hanging="360"/>
    </w:pPr>
    <w:rPr/>
  </w:style>
  <w:style w:type="paragraph" w:styleId="315">
    <w:name w:val="Список 31"/>
    <w:basedOn w:val="Normal"/>
    <w:qFormat/>
    <w:pPr>
      <w:ind w:left="1915" w:right="835" w:hanging="360"/>
    </w:pPr>
    <w:rPr/>
  </w:style>
  <w:style w:type="paragraph" w:styleId="2110">
    <w:name w:val="Список 21"/>
    <w:basedOn w:val="Normal"/>
    <w:qFormat/>
    <w:pPr>
      <w:ind w:left="1555" w:right="835" w:hanging="360"/>
    </w:pPr>
    <w:rPr/>
  </w:style>
  <w:style w:type="paragraph" w:styleId="Style56">
    <w:name w:val="Имя в подписи"/>
    <w:basedOn w:val="Signature"/>
    <w:next w:val="Style57"/>
    <w:qFormat/>
    <w:pPr>
      <w:spacing w:before="720" w:after="0"/>
      <w:jc w:val="left"/>
    </w:pPr>
    <w:rPr/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tyle57">
    <w:name w:val="Должность в подписи"/>
    <w:basedOn w:val="Signature"/>
    <w:next w:val="Normal"/>
    <w:qFormat/>
    <w:pPr>
      <w:spacing w:before="0" w:after="0"/>
      <w:jc w:val="left"/>
    </w:pPr>
    <w:rPr/>
  </w:style>
  <w:style w:type="paragraph" w:styleId="Style58">
    <w:name w:val="Обратный адрес"/>
    <w:basedOn w:val="Normal"/>
    <w:qFormat/>
    <w:pPr>
      <w:keepLines/>
      <w:spacing w:lineRule="atLeast" w:line="200"/>
      <w:ind w:left="0" w:right="835" w:hanging="0"/>
    </w:pPr>
    <w:rPr>
      <w:spacing w:val="-2"/>
      <w:sz w:val="16"/>
    </w:rPr>
  </w:style>
  <w:style w:type="paragraph" w:styleId="131">
    <w:name w:val="Обычный отступ1"/>
    <w:basedOn w:val="Normal"/>
    <w:qFormat/>
    <w:pPr>
      <w:ind w:left="1555" w:right="835" w:hanging="0"/>
    </w:pPr>
    <w:rPr/>
  </w:style>
  <w:style w:type="paragraph" w:styleId="Style59">
    <w:name w:val="Заголовок сообщения (последний)"/>
    <w:basedOn w:val="132"/>
    <w:next w:val="BodyText"/>
    <w:qFormat/>
    <w:pPr>
      <w:pBdr>
        <w:bottom w:val="single" w:sz="4" w:space="15" w:color="000000"/>
      </w:pBdr>
      <w:spacing w:before="0" w:after="320"/>
    </w:pPr>
    <w:rPr/>
  </w:style>
  <w:style w:type="paragraph" w:styleId="Style60">
    <w:name w:val="Заголовок сообщения (первый)"/>
    <w:basedOn w:val="132"/>
    <w:next w:val="132"/>
    <w:qFormat/>
    <w:pPr>
      <w:spacing w:before="220" w:after="120"/>
    </w:pPr>
    <w:rPr/>
  </w:style>
  <w:style w:type="paragraph" w:styleId="132">
    <w:name w:val="Шапка1"/>
    <w:basedOn w:val="BodyText"/>
    <w:qFormat/>
    <w:pPr>
      <w:keepLines/>
      <w:spacing w:before="0" w:after="120"/>
      <w:ind w:left="1555" w:right="835" w:hanging="720"/>
      <w:jc w:val="left"/>
    </w:pPr>
    <w:rPr/>
  </w:style>
  <w:style w:type="paragraph" w:styleId="Style61">
    <w:name w:val="База заголовка"/>
    <w:basedOn w:val="BodyText"/>
    <w:next w:val="BodyText"/>
    <w:qFormat/>
    <w:pPr>
      <w:keepNext w:val="true"/>
      <w:keepLines/>
      <w:spacing w:before="0" w:after="0"/>
      <w:jc w:val="left"/>
    </w:pPr>
    <w:rPr>
      <w:rFonts w:ascii="Arial Black" w:hAnsi="Arial Black" w:cs="Arial Black"/>
      <w:spacing w:val="-10"/>
      <w:kern w:val="2"/>
    </w:rPr>
  </w:style>
  <w:style w:type="paragraph" w:styleId="Style62">
    <w:name w:val="База верхнего колонтитула"/>
    <w:basedOn w:val="BodyText"/>
    <w:qFormat/>
    <w:pPr>
      <w:keepLines/>
      <w:tabs>
        <w:tab w:val="clear" w:pos="708"/>
        <w:tab w:val="center" w:pos="5990" w:leader="none"/>
        <w:tab w:val="right" w:pos="10310" w:leader="none"/>
      </w:tabs>
      <w:spacing w:before="0" w:after="0"/>
    </w:pPr>
    <w:rPr/>
  </w:style>
  <w:style w:type="paragraph" w:styleId="Closing">
    <w:name w:val="Closing"/>
    <w:basedOn w:val="BodyText"/>
    <w:next w:val="Normal"/>
    <w:qFormat/>
    <w:pPr>
      <w:keepLines/>
      <w:spacing w:before="220" w:after="220"/>
      <w:jc w:val="left"/>
    </w:pPr>
    <w:rPr/>
  </w:style>
  <w:style w:type="paragraph" w:styleId="Style63">
    <w:name w:val="Название документа"/>
    <w:basedOn w:val="Normal"/>
    <w:next w:val="Normal"/>
    <w:qFormat/>
    <w:pPr>
      <w:keepNext w:val="true"/>
      <w:keepLines/>
      <w:spacing w:lineRule="atLeast" w:line="240" w:before="400" w:after="120"/>
      <w:ind w:left="0" w:right="835" w:hanging="0"/>
    </w:pPr>
    <w:rPr>
      <w:rFonts w:ascii="Arial Black" w:hAnsi="Arial Black" w:cs="Arial Black"/>
      <w:kern w:val="2"/>
      <w:sz w:val="96"/>
    </w:rPr>
  </w:style>
  <w:style w:type="paragraph" w:styleId="Style64">
    <w:name w:val="Название предприятия"/>
    <w:basedOn w:val="Normal"/>
    <w:qFormat/>
    <w:pPr>
      <w:keepLines/>
      <w:shd w:val="clear" w:fill="000000"/>
      <w:spacing w:lineRule="exact" w:line="320"/>
      <w:ind w:left="0" w:right="835" w:hanging="0"/>
    </w:pPr>
    <w:rPr>
      <w:rFonts w:ascii="Arial Black" w:hAnsi="Arial Black" w:cs="Arial Black"/>
      <w:color w:val="FFFFFF"/>
      <w:spacing w:val="-15"/>
      <w:sz w:val="32"/>
    </w:rPr>
  </w:style>
  <w:style w:type="paragraph" w:styleId="133">
    <w:name w:val="Прощание1"/>
    <w:basedOn w:val="Normal"/>
    <w:qFormat/>
    <w:pPr>
      <w:keepNext w:val="true"/>
      <w:spacing w:lineRule="atLeast" w:line="220"/>
    </w:pPr>
    <w:rPr/>
  </w:style>
  <w:style w:type="paragraph" w:styleId="134">
    <w:name w:val="Указатель1"/>
    <w:basedOn w:val="Normal"/>
    <w:qFormat/>
    <w:pPr>
      <w:suppressLineNumbers/>
    </w:pPr>
    <w:rPr>
      <w:rFonts w:ascii="Arial" w:hAnsi="Arial" w:cs="Tahoma"/>
    </w:rPr>
  </w:style>
  <w:style w:type="paragraph" w:styleId="220">
    <w:name w:val="Название объекта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221">
    <w:name w:val="Указатель2"/>
    <w:basedOn w:val="Normal"/>
    <w:qFormat/>
    <w:pPr>
      <w:suppressLineNumbers/>
    </w:pPr>
    <w:rPr>
      <w:lang w:val="zxx" w:bidi="zxx"/>
    </w:rPr>
  </w:style>
  <w:style w:type="paragraph" w:styleId="Style65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12">
    <w:name w:val="Caption1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12">
    <w:name w:val="Caption1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>
    <w:name w:val="index heading11"/>
    <w:basedOn w:val="Title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35" w:customStyle="1">
    <w:name w:val="Стиль1"/>
    <w:uiPriority w:val="99"/>
    <w:qFormat/>
    <w:rsid w:val="00f001e4"/>
  </w:style>
  <w:style w:type="numbering" w:styleId="222" w:customStyle="1">
    <w:name w:val="Стиль2"/>
    <w:uiPriority w:val="99"/>
    <w:qFormat/>
    <w:rsid w:val="006629c9"/>
  </w:style>
  <w:style w:type="numbering" w:styleId="136" w:customStyle="1">
    <w:name w:val="Нет списка1"/>
    <w:uiPriority w:val="99"/>
    <w:semiHidden/>
    <w:unhideWhenUsed/>
    <w:qFormat/>
    <w:rsid w:val="00bc45fd"/>
  </w:style>
  <w:style w:type="numbering" w:styleId="1110" w:customStyle="1">
    <w:name w:val="Нет списка11"/>
    <w:uiPriority w:val="99"/>
    <w:semiHidden/>
    <w:unhideWhenUsed/>
    <w:qFormat/>
    <w:rsid w:val="00394980"/>
  </w:style>
  <w:style w:type="numbering" w:styleId="1111" w:customStyle="1">
    <w:name w:val="Стиль11"/>
    <w:uiPriority w:val="99"/>
    <w:qFormat/>
    <w:rsid w:val="00394980"/>
  </w:style>
  <w:style w:type="numbering" w:styleId="2111" w:customStyle="1">
    <w:name w:val="Стиль21"/>
    <w:uiPriority w:val="99"/>
    <w:qFormat/>
    <w:rsid w:val="00394980"/>
  </w:style>
  <w:style w:type="numbering" w:styleId="223" w:customStyle="1">
    <w:name w:val="Нет списка2"/>
    <w:uiPriority w:val="99"/>
    <w:semiHidden/>
    <w:unhideWhenUsed/>
    <w:qFormat/>
    <w:rsid w:val="00394980"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f4">
    <w:name w:val="Table Grid"/>
    <w:basedOn w:val="a5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1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f2">
    <w:name w:val="Сетка таблицы2"/>
    <w:basedOn w:val="a5"/>
    <w:uiPriority w:val="39"/>
    <w:rsid w:val="0039498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http://www.renoe.ru/catalog?search=&#1088;&#1077;&#1084;&#1077;&#1085;&#1100;+&#1075;&#1077;&#1085;&#1077;&#1088;&#1072;&#1090;&#1086;&#1088;&#1072;" TargetMode="External"/><Relationship Id="rId4" Type="http://schemas.openxmlformats.org/officeDocument/2006/relationships/hyperlink" Target="http://www.renoe.ru/catalog?search=&#1087;&#1072;&#1090;&#1088;&#1091;&#1073;" TargetMode="External"/><Relationship Id="rId5" Type="http://schemas.openxmlformats.org/officeDocument/2006/relationships/hyperlink" Target="http://www.renoe.ru/catalog?search=&#1074;&#1086;&#1079;&#1076;&#1091;&#1096;&#1085;&#1099;&#1081;+&#1092;&#1080;&#1083;&#1100;&#1090;&#1088;" TargetMode="External"/><Relationship Id="rId6" Type="http://schemas.openxmlformats.org/officeDocument/2006/relationships/hyperlink" Target="http://www.renoe.ru/catalog?search=&#1090;&#1088;&#1072;&#1085;&#1089;&#1084;&#1080;&#1089;&#1089;&#1080;&#1086;&#1085;&#1085;&#1086;&#1077;+&#1084;&#1072;&#1089;&#1083;&#1086;" TargetMode="External"/><Relationship Id="rId7" Type="http://schemas.openxmlformats.org/officeDocument/2006/relationships/hyperlink" Target="http://www.renoe.ru/catalog?search=&#1096;&#1088;&#1091;&#1089;+&#1087;&#1099;&#1083;&#1100;&#1085;&#1080;&#1082;" TargetMode="External"/><Relationship Id="rId8" Type="http://schemas.openxmlformats.org/officeDocument/2006/relationships/hyperlink" Target="http://www.renoe.ru/catalog/hodovaya/?search=&#1087;&#1077;&#1088;&#1077;&#1076;" TargetMode="External"/><Relationship Id="rId9" Type="http://schemas.openxmlformats.org/officeDocument/2006/relationships/hyperlink" Target="http://www.renoe.ru/catalog/hodovaya/?search=&#1079;&#1072;&#1076;&#1085;" TargetMode="External"/><Relationship Id="rId10" Type="http://schemas.openxmlformats.org/officeDocument/2006/relationships/hyperlink" Target="http://www.renoe.ru/catalog?search=&#1088;&#1091;&#1083;&#1077;&#1074;&#1072;&#1103;" TargetMode="External"/><Relationship Id="rId11" Type="http://schemas.openxmlformats.org/officeDocument/2006/relationships/hyperlink" Target="http://www.renoe.ru/catalog?search=&#1089;&#1072;&#1083;&#1086;&#1085;&#1085;&#1099;&#1081;+&#1092;&#1080;&#1083;&#1100;&#1090;&#1088;" TargetMode="Externa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header" Target="header4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<Relationship Id="rId1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75A87-B7C8-4475-AEAE-DE72E1AB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Application>AlterOffice/3.4.0.9$Linux_X86_64 LibreOffice_project/b8daf9e823b1a5463a2f48435ddc2e8696e7d4fc</Application>
  <AppVersion>15.0000</AppVersion>
  <Pages>17</Pages>
  <Words>3249</Words>
  <Characters>17514</Characters>
  <CharactersWithSpaces>20401</CharactersWithSpaces>
  <Paragraphs>1085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2024-07-04T10:49:00Z</dcterms:created>
  <dc:creator>Быстров Олег Геннадьевич</dc:creator>
  <dc:description/>
  <dc:language>ru-RU</dc:language>
  <cp:lastModifiedBy>linchenkoma@corp.gidroogk.com</cp:lastModifiedBy>
  <cp:lastPrinted>2026-05-27T11:34:59Z</cp:lastPrinted>
  <dcterms:modified xsi:type="dcterms:W3CDTF">2026-05-27T11:56:47Z</dcterms:modified>
  <cp:revision>35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