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79" w:rsidRDefault="00505B79">
      <w:pPr>
        <w:pStyle w:val="Default1"/>
        <w:ind w:firstLine="709"/>
        <w:jc w:val="right"/>
        <w:rPr>
          <w:rFonts w:ascii="Times New Roman" w:hAnsi="Times New Roman"/>
          <w:sz w:val="22"/>
        </w:rPr>
      </w:pPr>
      <w:bookmarkStart w:id="0" w:name="_Hlk183523046"/>
      <w:bookmarkEnd w:id="0"/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1" w:name="_Hlk183523046_Копия_1"/>
      <w:bookmarkStart w:id="2" w:name="_Hlk185841713"/>
      <w:bookmarkEnd w:id="1"/>
      <w:r>
        <w:rPr>
          <w:rFonts w:ascii="Times New Roman" w:hAnsi="Times New Roman"/>
          <w:b/>
        </w:rPr>
        <w:t>Техническое задание</w:t>
      </w:r>
      <w:bookmarkEnd w:id="2"/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 по эксплуатационно-техническому обслуживанию оборудования системы звукового оповещения (СЗО) Краснозерского района Новосибирской области</w:t>
      </w:r>
    </w:p>
    <w:p w:rsidR="00505B79" w:rsidRDefault="00505B7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Наименование услуг:</w:t>
      </w:r>
    </w:p>
    <w:p w:rsidR="00505B79" w:rsidRDefault="00F663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Эксплуатационно-техническое обслуживание </w:t>
      </w:r>
      <w:r>
        <w:rPr>
          <w:rFonts w:ascii="Times New Roman" w:hAnsi="Times New Roman"/>
        </w:rPr>
        <w:t>оборудования системы звукового оповещения (СЗО) Краснозерского района Новосибирской области.</w:t>
      </w: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 Основание для оказания услуг:</w:t>
      </w:r>
    </w:p>
    <w:p w:rsidR="00505B79" w:rsidRDefault="00F663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Федеральный закон от 21 декабря 1994 г. № 68-ФЗ «О защите населения и территорий от чрезвычайных ситуаций природного </w:t>
      </w:r>
      <w:r>
        <w:rPr>
          <w:rFonts w:ascii="Times New Roman" w:hAnsi="Times New Roman"/>
        </w:rPr>
        <w:t>и техногенного характера»;</w:t>
      </w:r>
      <w:r>
        <w:rPr>
          <w:rFonts w:ascii="Times New Roman" w:hAnsi="Times New Roman"/>
        </w:rPr>
        <w:br/>
        <w:t xml:space="preserve">          - Федеральный закон от 12 февраля 1998 г. № 28-ФЗ «О гражданской обороне»;</w:t>
      </w:r>
      <w:r>
        <w:rPr>
          <w:rFonts w:ascii="Times New Roman" w:hAnsi="Times New Roman"/>
        </w:rPr>
        <w:br/>
        <w:t xml:space="preserve">          - Федеральный закон от 7 июля 2003 г. № 126-ФЗ «О связи»; </w:t>
      </w:r>
    </w:p>
    <w:p w:rsidR="00505B79" w:rsidRDefault="00F663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Постановление Правительства Российской Федерации от 30 декабря </w:t>
      </w:r>
      <w:r>
        <w:rPr>
          <w:rFonts w:ascii="Times New Roman" w:hAnsi="Times New Roman"/>
        </w:rPr>
        <w:t>2003 г. № 794 «О единой государственной системе предупреждения и ликвидации чрезвычайных ситуаций»;</w:t>
      </w:r>
    </w:p>
    <w:p w:rsidR="00505B79" w:rsidRDefault="00F663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Распоряжение Правительства Российской Федерации от 25 октября 2003 г. № 1544-р «О мерах по обеспечению своевременного оповещения населения об уг</w:t>
      </w:r>
      <w:r>
        <w:rPr>
          <w:rFonts w:ascii="Times New Roman" w:hAnsi="Times New Roman"/>
        </w:rPr>
        <w:t xml:space="preserve">розе возникновения или о возникновении чрезвычайных ситуаций в мирное и военное время»; </w:t>
      </w:r>
    </w:p>
    <w:p w:rsidR="00505B79" w:rsidRDefault="00F663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«Положение о системах оповещения населения» утвержденное совместным приказом Министерства РФ по делам гражданской обороны, чрезвычайным ситуациям и ликвида</w:t>
      </w:r>
      <w:r>
        <w:rPr>
          <w:rFonts w:ascii="Times New Roman" w:hAnsi="Times New Roman"/>
        </w:rPr>
        <w:t>ции последствий стихийных бедствий № 422, Министерства информационных технологий и связи РФ № 90, Министерства культуры и массовых коммуникаций РФ № 376 от 25 июля 2006 г.;</w:t>
      </w:r>
    </w:p>
    <w:p w:rsidR="00505B79" w:rsidRDefault="00F663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«Положение об организации эксплуатационно-технического обслуживания сис</w:t>
      </w:r>
      <w:r>
        <w:rPr>
          <w:rFonts w:ascii="Times New Roman" w:hAnsi="Times New Roman"/>
        </w:rPr>
        <w:t>тем оповещения населения» утвержденное совместным приказом Министерства РФ по делам гражданской обороны, чрезвычайным ситуациям и ликвидации последствий стихийных бедствий № 877, Министерства информационных технологий и связи РФ № 138, Министерства культур</w:t>
      </w:r>
      <w:r>
        <w:rPr>
          <w:rFonts w:ascii="Times New Roman" w:hAnsi="Times New Roman"/>
        </w:rPr>
        <w:t>ы и массовых коммуникаций РФ № 597 от 7 декабря 2005 г.</w:t>
      </w: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Срок оказания услуг:</w:t>
      </w:r>
    </w:p>
    <w:p w:rsidR="00505B79" w:rsidRDefault="00F663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течении 12 месяцев с 01.07.2026 по 30.06.2027</w:t>
      </w:r>
    </w:p>
    <w:p w:rsidR="00505B79" w:rsidRDefault="00505B79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Место оказания услуг:</w:t>
      </w:r>
    </w:p>
    <w:p w:rsidR="00505B79" w:rsidRDefault="00F663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632902, Новосибирская область, </w:t>
      </w:r>
      <w:proofErr w:type="spellStart"/>
      <w:r>
        <w:rPr>
          <w:rFonts w:ascii="Times New Roman" w:hAnsi="Times New Roman"/>
          <w:sz w:val="24"/>
        </w:rPr>
        <w:t>Краснозерский</w:t>
      </w:r>
      <w:proofErr w:type="spellEnd"/>
      <w:r>
        <w:rPr>
          <w:rFonts w:ascii="Times New Roman" w:hAnsi="Times New Roman"/>
          <w:sz w:val="24"/>
        </w:rPr>
        <w:t xml:space="preserve"> район, </w:t>
      </w:r>
      <w:proofErr w:type="spellStart"/>
      <w:r>
        <w:rPr>
          <w:rFonts w:ascii="Times New Roman" w:hAnsi="Times New Roman"/>
          <w:sz w:val="24"/>
        </w:rPr>
        <w:t>р.п</w:t>
      </w:r>
      <w:proofErr w:type="spellEnd"/>
      <w:r>
        <w:rPr>
          <w:rFonts w:ascii="Times New Roman" w:hAnsi="Times New Roman"/>
          <w:sz w:val="24"/>
        </w:rPr>
        <w:t xml:space="preserve">. Краснозерское в соответствии с Приложением № </w:t>
      </w:r>
      <w:r>
        <w:rPr>
          <w:rFonts w:ascii="Times New Roman" w:hAnsi="Times New Roman"/>
          <w:sz w:val="24"/>
        </w:rPr>
        <w:t>1 к Техническому заданию</w:t>
      </w:r>
      <w:r>
        <w:rPr>
          <w:rFonts w:ascii="Times New Roman" w:hAnsi="Times New Roman"/>
        </w:rPr>
        <w:t>.</w:t>
      </w:r>
    </w:p>
    <w:p w:rsidR="00505B79" w:rsidRDefault="00505B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Перечень оказываемых услуг: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Эксплуатационно-техническое обслуживание технических средств оповещения.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эксплуатационно-технического обслуживания технических средств оповещения является выполнение работ по поддержанию </w:t>
      </w:r>
      <w:r>
        <w:rPr>
          <w:rFonts w:ascii="Times New Roman" w:hAnsi="Times New Roman"/>
        </w:rPr>
        <w:t xml:space="preserve">в исправном состоянии, восстановлению работоспособности и ресурса технических средств в период их использования по назначению в режиме повседневной деятельности, в режиме чрезвычайной ситуации мирного и военного времени. 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Эксплуатационно-техническое о</w:t>
      </w:r>
      <w:r>
        <w:rPr>
          <w:rFonts w:ascii="Times New Roman" w:hAnsi="Times New Roman"/>
        </w:rPr>
        <w:t>бслуживание включает в себя комплекс работ по поддержанию в исправном состоянии, восстановлению работоспособности технических средств оповещения и подразделяется на: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техническое обслуживание №1 (ТО-1) – 1 раз в месяц;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техническое обслуживание №2 (ТО-2)</w:t>
      </w:r>
      <w:r>
        <w:rPr>
          <w:rFonts w:ascii="Times New Roman" w:hAnsi="Times New Roman"/>
        </w:rPr>
        <w:t xml:space="preserve"> – 1 раз в год;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проведение текущего ремонта технических средств оповещения.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Техническое обслуживание №1 проводится один раз в месяц независимо от интенсивности использования технических средств оповещения и предусматривает выполнение следующих основ</w:t>
      </w:r>
      <w:r>
        <w:rPr>
          <w:rFonts w:ascii="Times New Roman" w:hAnsi="Times New Roman"/>
        </w:rPr>
        <w:t>ных работ: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наличия и состояния основных комплектующих блоков, средств измерений и запасного имущества;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исправности источников электроснабжения и готовности к их применению;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надежности крепления блоков и соединения электрических разъёмов;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наличия и </w:t>
      </w:r>
      <w:r>
        <w:rPr>
          <w:rFonts w:ascii="Times New Roman" w:hAnsi="Times New Roman"/>
        </w:rPr>
        <w:t>правильности ведения эксплуатационно-технической документации;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детальный осмотр и чистку технических средств оповещения;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проверку работоспособности технических средств оповещения с использованием встроенных систем контроля и автономных средств измерени</w:t>
      </w:r>
      <w:r>
        <w:rPr>
          <w:rFonts w:ascii="Times New Roman" w:hAnsi="Times New Roman"/>
        </w:rPr>
        <w:t>й;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проведение при необходимости электрических и механических регулировок, а также чистки и смазки трущихся частей.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 в объёме ТО-1 организуются и контролируются руководителями организаций связи, принявших технические средства оповещения на эксплуата</w:t>
      </w:r>
      <w:r>
        <w:rPr>
          <w:rFonts w:ascii="Times New Roman" w:hAnsi="Times New Roman"/>
        </w:rPr>
        <w:t>ционно-техническое обслуживание.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ТО-1 записываются в книгу учета состояния технических средств оповещения.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Техническое обслуживание №2 проводится один раз в год и предусматривает выполнение следующих основных работ: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работы в объёме ТО-1;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измерение параметров и характеристик технических средств оповещения, установленных в эксплуатационной документации, и доведение их до заданных норм;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проверку и замену некачественных (неработоспособных) элементов технических средств оповещения;</w:t>
      </w:r>
    </w:p>
    <w:p w:rsidR="00505B79" w:rsidRDefault="00F6632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</w:t>
      </w:r>
      <w:r>
        <w:rPr>
          <w:rFonts w:ascii="Times New Roman" w:hAnsi="Times New Roman"/>
        </w:rPr>
        <w:t>ку правильности ведения формуляров (паспортов), другой эксплуатационной документации и порядка их хранения.</w:t>
      </w:r>
    </w:p>
    <w:p w:rsidR="00505B79" w:rsidRDefault="00F663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ТО-2 и значения измеренных параметров заносятся в формуляры (паспорта) и в книгу учета технического состояния средств оповещения.</w:t>
      </w:r>
    </w:p>
    <w:p w:rsidR="00505B79" w:rsidRDefault="00505B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  <w:b/>
        </w:rPr>
        <w:t>Организация текущего ремонта технических средств оповещения: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Текущий ремонт технических средств оповещения является неплановым и включает в себя работы по восстановлению их работоспособности после отказов и повреждений путем замены и (или) восстановления о</w:t>
      </w:r>
      <w:r>
        <w:rPr>
          <w:rFonts w:ascii="Times New Roman" w:hAnsi="Times New Roman"/>
        </w:rPr>
        <w:t>тдельных составных блоков (элементов). К текущему ремонту относятся работы по поиску и замене отказавших легкосъемных функциональных блоков, узлов и элементов, ремонту или замене кабельной инфраструктуры, а также другие восстановительные работы, не требующ</w:t>
      </w:r>
      <w:r>
        <w:rPr>
          <w:rFonts w:ascii="Times New Roman" w:hAnsi="Times New Roman"/>
        </w:rPr>
        <w:t>ие использования специального ремонтного оборудования.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Текущий ремонт проводится специалистами Исполнителя, ответственными за своевременное и качественное выполнение технического обслуживания и текущего ремонта технических средств оповещения.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Длительность </w:t>
      </w:r>
      <w:r>
        <w:rPr>
          <w:rFonts w:ascii="Times New Roman" w:hAnsi="Times New Roman"/>
        </w:rPr>
        <w:t>выполнения работ при текущем ремонте не должна превышать 24 часов с момента выявления неисправности; работы должны выполняться без нарушения работоспособности системы в целом.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текущего ремонта технических средств оповещения используются ЗИП </w:t>
      </w:r>
      <w:r>
        <w:rPr>
          <w:rFonts w:ascii="Times New Roman" w:hAnsi="Times New Roman"/>
        </w:rPr>
        <w:t>Исполнителя.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обязан: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выполнять текущий ремонт технических средств оповещения;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-проводить необходимые измерения после выполненного ремонта и, при необходимости, доводить до установленных норм параметры оборудования АСЦО;</w:t>
      </w:r>
    </w:p>
    <w:p w:rsidR="00505B79" w:rsidRDefault="00F663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вести учет проведени</w:t>
      </w:r>
      <w:r>
        <w:rPr>
          <w:rFonts w:ascii="Times New Roman" w:hAnsi="Times New Roman"/>
        </w:rPr>
        <w:t xml:space="preserve">я ремонта и измерений в «Журнале учета технического состояния средств оповещения». </w:t>
      </w:r>
    </w:p>
    <w:p w:rsidR="00505B79" w:rsidRDefault="00505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Контроль технического состояния технических средств оповещения:</w:t>
      </w:r>
    </w:p>
    <w:p w:rsidR="00505B79" w:rsidRDefault="00F663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технического состояния технических средств СЗО осуществляется должностными лицами или комиссиям</w:t>
      </w:r>
      <w:r>
        <w:rPr>
          <w:rFonts w:ascii="Times New Roman" w:hAnsi="Times New Roman"/>
        </w:rPr>
        <w:t>и Заказчика в соответствии с планом основных мероприятий.</w:t>
      </w:r>
    </w:p>
    <w:p w:rsidR="00505B79" w:rsidRDefault="00F663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время проведения контроля технического состояния СЗО проверяется:</w:t>
      </w:r>
    </w:p>
    <w:p w:rsidR="00505B79" w:rsidRDefault="00F663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комплектность и внешнее состояние технических средств оповещения;</w:t>
      </w:r>
    </w:p>
    <w:p w:rsidR="00505B79" w:rsidRDefault="00F663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работоспособность технических средств оповещения;</w:t>
      </w:r>
    </w:p>
    <w:p w:rsidR="00505B79" w:rsidRDefault="00F663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своевре</w:t>
      </w:r>
      <w:r>
        <w:rPr>
          <w:rFonts w:ascii="Times New Roman" w:hAnsi="Times New Roman"/>
        </w:rPr>
        <w:t>менность и качество проведения технического обслуживания и ремонта;</w:t>
      </w:r>
      <w:r>
        <w:rPr>
          <w:rFonts w:ascii="Times New Roman" w:hAnsi="Times New Roman"/>
        </w:rPr>
        <w:br/>
        <w:t>- наличие и правильность ведения эксплуатационной документации.</w:t>
      </w:r>
    </w:p>
    <w:p w:rsidR="00505B79" w:rsidRDefault="00F663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осуществления планового контроля, Заказчиком составляется «График проверки систем звукового оповещения».</w:t>
      </w:r>
    </w:p>
    <w:p w:rsidR="00505B79" w:rsidRDefault="00F663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Комплексная</w:t>
      </w:r>
      <w:r>
        <w:rPr>
          <w:rFonts w:ascii="Times New Roman" w:hAnsi="Times New Roman"/>
        </w:rPr>
        <w:t xml:space="preserve"> техническая проверка технического состояния средств оповещения проводится Заказчиком в соответствии с «Графиком проверки СЗО» в присутствии представителя Исполнителя.</w:t>
      </w:r>
    </w:p>
    <w:p w:rsidR="00505B79" w:rsidRDefault="00505B7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05B79" w:rsidRDefault="00F663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Иные условия</w:t>
      </w:r>
    </w:p>
    <w:p w:rsidR="00505B79" w:rsidRDefault="00F66329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</w:t>
      </w:r>
      <w:bookmarkStart w:id="3" w:name="_GoBack"/>
      <w:bookmarkEnd w:id="3"/>
      <w:r>
        <w:rPr>
          <w:rFonts w:ascii="Times New Roman" w:hAnsi="Times New Roman"/>
          <w:sz w:val="24"/>
        </w:rPr>
        <w:t xml:space="preserve">. Исполнитель гарантирует, что оказываемые услуги соответствуют требованиям, </w:t>
      </w:r>
      <w:r>
        <w:rPr>
          <w:rFonts w:ascii="Times New Roman" w:hAnsi="Times New Roman"/>
          <w:sz w:val="24"/>
        </w:rPr>
        <w:lastRenderedPageBreak/>
        <w:t>установленным в Техническом задании, обязательным</w:t>
      </w:r>
      <w:r>
        <w:rPr>
          <w:rFonts w:ascii="Times New Roman" w:hAnsi="Times New Roman"/>
          <w:sz w:val="24"/>
        </w:rPr>
        <w:t xml:space="preserve"> нормам и правилам, регулирующим данную деятельность (ГОСТ, ТУ), а также иным требованиям законодательства Российской Федерации.</w:t>
      </w:r>
    </w:p>
    <w:p w:rsidR="00505B79" w:rsidRDefault="00505B79">
      <w:pPr>
        <w:ind w:firstLine="709"/>
        <w:rPr>
          <w:rFonts w:ascii="Times New Roman" w:hAnsi="Times New Roman"/>
          <w:sz w:val="23"/>
        </w:rPr>
      </w:pPr>
    </w:p>
    <w:p w:rsidR="00505B79" w:rsidRDefault="00F66329">
      <w:pPr>
        <w:tabs>
          <w:tab w:val="left" w:pos="4173"/>
          <w:tab w:val="right" w:pos="9637"/>
        </w:tabs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1</w:t>
      </w:r>
    </w:p>
    <w:p w:rsidR="00505B79" w:rsidRDefault="00F663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аппаратуры СЗО, подлежащей</w:t>
      </w:r>
    </w:p>
    <w:p w:rsidR="00505B79" w:rsidRDefault="00F663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эксплуатационно-техническому обслуживанию</w:t>
      </w:r>
    </w:p>
    <w:p w:rsidR="00505B79" w:rsidRDefault="00505B7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418"/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3292"/>
        <w:gridCol w:w="2550"/>
        <w:gridCol w:w="3686"/>
      </w:tblGrid>
      <w:tr w:rsidR="00505B79">
        <w:trPr>
          <w:trHeight w:val="301"/>
          <w:tblHeader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установки </w:t>
            </w:r>
            <w:r>
              <w:rPr>
                <w:rFonts w:ascii="Times New Roman" w:hAnsi="Times New Roman"/>
              </w:rPr>
              <w:t>оборудования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оборудования</w:t>
            </w:r>
          </w:p>
        </w:tc>
      </w:tr>
      <w:tr w:rsidR="00505B79">
        <w:trPr>
          <w:trHeight w:val="301"/>
          <w:tblHeader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 xml:space="preserve">. Краснозерское,            </w:t>
            </w:r>
          </w:p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Чкалова, д.5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spacing w:after="0" w:line="240" w:lineRule="auto"/>
              <w:ind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«ЕДДС»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П-166М ВАУ</w:t>
            </w:r>
          </w:p>
        </w:tc>
      </w:tr>
      <w:tr w:rsidR="00505B79">
        <w:trPr>
          <w:trHeight w:val="1159"/>
          <w:tblHeader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 xml:space="preserve">. Краснозерское, </w:t>
            </w:r>
          </w:p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Панарина, д. 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ind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СОШ №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П-166М ВАУ</w:t>
            </w:r>
          </w:p>
        </w:tc>
      </w:tr>
      <w:tr w:rsidR="00505B79">
        <w:trPr>
          <w:trHeight w:val="1605"/>
          <w:tblHeader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 xml:space="preserve">. Краснозерское, </w:t>
            </w:r>
          </w:p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Тракторная, д. 57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Производственный </w:t>
            </w:r>
            <w:r>
              <w:rPr>
                <w:rFonts w:ascii="Times New Roman" w:hAnsi="Times New Roman"/>
              </w:rPr>
              <w:t>комбинат Краснозерского РАЙПО»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П-166М ВАУ</w:t>
            </w:r>
          </w:p>
        </w:tc>
      </w:tr>
      <w:tr w:rsidR="00505B79">
        <w:trPr>
          <w:trHeight w:val="1214"/>
          <w:tblHeader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 xml:space="preserve">. Краснозерское, </w:t>
            </w:r>
          </w:p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Солнечная, д. 50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</w:t>
            </w:r>
            <w:proofErr w:type="spellStart"/>
            <w:r>
              <w:rPr>
                <w:rFonts w:ascii="Times New Roman" w:hAnsi="Times New Roman"/>
              </w:rPr>
              <w:t>Краснозерский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пивкомбинат</w:t>
            </w:r>
            <w:proofErr w:type="spellEnd"/>
            <w:r>
              <w:rPr>
                <w:rFonts w:ascii="Times New Roman" w:hAnsi="Times New Roman"/>
              </w:rPr>
              <w:t xml:space="preserve"> ОПС»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79" w:rsidRDefault="00F6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П-166М ВАУ</w:t>
            </w:r>
          </w:p>
        </w:tc>
      </w:tr>
    </w:tbl>
    <w:p w:rsidR="00505B79" w:rsidRDefault="00505B7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5B79" w:rsidRDefault="00505B79">
      <w:pPr>
        <w:spacing w:after="0" w:line="240" w:lineRule="auto"/>
        <w:rPr>
          <w:rFonts w:ascii="Times New Roman" w:hAnsi="Times New Roman"/>
        </w:rPr>
      </w:pPr>
    </w:p>
    <w:p w:rsidR="00505B79" w:rsidRDefault="00505B79">
      <w:pPr>
        <w:spacing w:after="0" w:line="240" w:lineRule="auto"/>
        <w:rPr>
          <w:rFonts w:ascii="Times New Roman" w:hAnsi="Times New Roman"/>
        </w:rPr>
      </w:pPr>
    </w:p>
    <w:p w:rsidR="00505B79" w:rsidRDefault="00505B7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5B79" w:rsidRDefault="00505B7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5B79" w:rsidRDefault="00505B79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505B79" w:rsidRDefault="00505B79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505B79" w:rsidRDefault="00505B7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505B79" w:rsidRDefault="00505B7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505B79" w:rsidRDefault="00505B7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505B79" w:rsidRDefault="00505B7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505B79" w:rsidRDefault="00505B7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505B79" w:rsidRDefault="00505B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505B79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79"/>
    <w:rsid w:val="00505B79"/>
    <w:rsid w:val="00F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D1F0"/>
  <w15:docId w15:val="{3CA91BD4-C08F-4E1D-A9C4-82FD732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er1">
    <w:name w:val="Header1"/>
    <w:qFormat/>
  </w:style>
  <w:style w:type="character" w:customStyle="1" w:styleId="11">
    <w:name w:val="Абзац списка1"/>
    <w:link w:val="ListParagraph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Без интервала1"/>
    <w:link w:val="NoSpacing1"/>
    <w:qFormat/>
    <w:rPr>
      <w:rFonts w:ascii="Calibri" w:hAnsi="Calibri"/>
    </w:rPr>
  </w:style>
  <w:style w:type="character" w:customStyle="1" w:styleId="Default">
    <w:name w:val="Default"/>
    <w:link w:val="Default1"/>
    <w:qFormat/>
    <w:rPr>
      <w:rFonts w:ascii="Liberation Serif" w:hAnsi="Liberation Serif"/>
      <w:color w:val="000000"/>
      <w:sz w:val="24"/>
    </w:rPr>
  </w:style>
  <w:style w:type="character" w:customStyle="1" w:styleId="LBGovstyle2">
    <w:name w:val="LB Gov style 2"/>
    <w:link w:val="LBGovstyle21"/>
    <w:qFormat/>
    <w:rPr>
      <w:rFonts w:ascii="Times New Roman" w:hAnsi="Times New Roman"/>
    </w:rPr>
  </w:style>
  <w:style w:type="character" w:customStyle="1" w:styleId="8f4506aa708e2a26msolistparagraph">
    <w:name w:val="8f4506aa708e2a26msolistparagraph"/>
    <w:link w:val="8f4506aa708e2a26msolistparagraph1"/>
    <w:qFormat/>
    <w:rPr>
      <w:rFonts w:ascii="Times New Roman" w:hAnsi="Times New Roman"/>
      <w:sz w:val="24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Times New Roman" w:hAnsi="Times New Roman"/>
      <w:sz w:val="28"/>
    </w:rPr>
  </w:style>
  <w:style w:type="character" w:customStyle="1" w:styleId="Marginalia">
    <w:name w:val="Marginalia"/>
    <w:qFormat/>
    <w:rPr>
      <w:sz w:val="20"/>
    </w:rPr>
  </w:style>
  <w:style w:type="character" w:styleId="a4">
    <w:name w:val="Hyperlink"/>
    <w:basedOn w:val="a0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Footer1">
    <w:name w:val="Footer1"/>
    <w:qFormat/>
  </w:style>
  <w:style w:type="character" w:customStyle="1" w:styleId="ConsCell">
    <w:name w:val="ConsCell"/>
    <w:link w:val="ConsCell1"/>
    <w:qFormat/>
    <w:rPr>
      <w:rFonts w:ascii="Arial" w:hAnsi="Arial"/>
      <w:sz w:val="20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5">
    <w:name w:val="Title"/>
    <w:next w:val="a6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BalloonText1">
    <w:name w:val="Balloon Text1"/>
    <w:basedOn w:val="a"/>
    <w:link w:val="10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user1">
    <w:name w:val="Колонтитулы (user)"/>
    <w:qFormat/>
    <w:pPr>
      <w:spacing w:after="200"/>
      <w:jc w:val="both"/>
    </w:pPr>
    <w:rPr>
      <w:rFonts w:ascii="XO Thames" w:hAnsi="XO Thames"/>
      <w:sz w:val="28"/>
    </w:rPr>
  </w:style>
  <w:style w:type="paragraph" w:customStyle="1" w:styleId="aa">
    <w:name w:val="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NoSpacing1">
    <w:name w:val="No Spacing1"/>
    <w:link w:val="12"/>
    <w:qFormat/>
  </w:style>
  <w:style w:type="paragraph" w:customStyle="1" w:styleId="Default1">
    <w:name w:val="Default1"/>
    <w:link w:val="Default"/>
    <w:qFormat/>
    <w:rPr>
      <w:rFonts w:ascii="Liberation Serif" w:hAnsi="Liberation Serif"/>
      <w:sz w:val="24"/>
    </w:rPr>
  </w:style>
  <w:style w:type="paragraph" w:customStyle="1" w:styleId="LBGovstyle21">
    <w:name w:val="LB Gov style 21"/>
    <w:link w:val="LBGovstyle2"/>
    <w:qFormat/>
    <w:pPr>
      <w:spacing w:before="120" w:after="120"/>
      <w:jc w:val="both"/>
    </w:pPr>
    <w:rPr>
      <w:rFonts w:ascii="Times New Roman" w:hAnsi="Times New Roman"/>
    </w:rPr>
  </w:style>
  <w:style w:type="paragraph" w:customStyle="1" w:styleId="8f4506aa708e2a26msolistparagraph1">
    <w:name w:val="8f4506aa708e2a26msolistparagraph1"/>
    <w:basedOn w:val="a"/>
    <w:link w:val="8f4506aa708e2a26msolistparagraph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nsPlusNormal1">
    <w:name w:val="ConsPlusNormal1"/>
    <w:link w:val="ConsPlusNormal"/>
    <w:qFormat/>
    <w:rPr>
      <w:rFonts w:ascii="Arial" w:hAnsi="Arial"/>
      <w:sz w:val="20"/>
    </w:rPr>
  </w:style>
  <w:style w:type="paragraph" w:styleId="ac">
    <w:name w:val="annotation text"/>
    <w:basedOn w:val="a"/>
    <w:pPr>
      <w:spacing w:line="240" w:lineRule="auto"/>
    </w:pPr>
    <w:rPr>
      <w:sz w:val="20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Internetlink">
    <w:name w:val="Internet link"/>
    <w:basedOn w:val="DefaultParagraphFont1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annotationsubject1">
    <w:name w:val="annotation subject1"/>
    <w:basedOn w:val="ac"/>
    <w:next w:val="ac"/>
    <w:link w:val="13"/>
    <w:qFormat/>
    <w:rPr>
      <w:b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Cell1">
    <w:name w:val="ConsCell1"/>
    <w:link w:val="ConsCell"/>
    <w:qFormat/>
    <w:pPr>
      <w:widowControl w:val="0"/>
      <w:ind w:right="19772"/>
    </w:pPr>
    <w:rPr>
      <w:rFonts w:ascii="Arial" w:hAnsi="Arial"/>
      <w:sz w:val="20"/>
    </w:rPr>
  </w:style>
  <w:style w:type="paragraph" w:styleId="ae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user2">
    <w:name w:val="Содержимое врезки (user)"/>
    <w:basedOn w:val="a"/>
    <w:qFormat/>
  </w:style>
  <w:style w:type="paragraph" w:customStyle="1" w:styleId="af">
    <w:name w:val="Содержимое врезки"/>
    <w:basedOn w:val="a"/>
    <w:qFormat/>
  </w:style>
  <w:style w:type="table" w:customStyle="1" w:styleId="15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1134</Words>
  <Characters>6466</Characters>
  <Application>Microsoft Office Word</Application>
  <DocSecurity>0</DocSecurity>
  <Lines>53</Lines>
  <Paragraphs>15</Paragraphs>
  <ScaleCrop>false</ScaleCrop>
  <Company>vdi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Овсянникова Ирина Васильевна</cp:lastModifiedBy>
  <cp:revision>3</cp:revision>
  <dcterms:created xsi:type="dcterms:W3CDTF">2026-05-21T13:11:00Z</dcterms:created>
  <dcterms:modified xsi:type="dcterms:W3CDTF">2026-05-27T11:23:00Z</dcterms:modified>
  <dc:language>ru-RU</dc:language>
</cp:coreProperties>
</file>