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ОКПД 2: 95.12.10.000 Услуги по техническому обслуживанию средств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радиосвязи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95.12.10.000 Услуги по техническому обслуживанию средств радиосвязи для нужд Камчатского филиала АО "ТК РусГидро"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523729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AlterOffice/2025.3.1.0$Linux_X86_64 LibreOffice_project/431cd1b79110582f53535c95ed0a2449aadc8bf9</Application>
  <AppVersion>15.0000</AppVersion>
  <Pages>2</Pages>
  <Words>451</Words>
  <Characters>3168</Characters>
  <CharactersWithSpaces>3598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2026-05-28T08:46:18Z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