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 w:val="24"/>
          <w:szCs w:val="24"/>
        </w:rPr>
        <w:t>ОКПД 2: 61.10.49.000 Услуги VSAT канала связи для нужд Камчатского филиала АО "ТК РусГидро"</w:t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.8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....8</w:t>
          </w:r>
          <w:r>
            <w:rPr>
              <w:vanish w:val="false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42323070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оказывающий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действительных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получатель услуги от оператора связи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46743506"/>
      <w:bookmarkStart w:id="4" w:name="_Toc142323071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VSAT канала связи для нужд Камчатского филиала АО "ТК РусГидро"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является </w:t>
      </w:r>
      <w:bookmarkEnd w:id="7"/>
      <w:r>
        <w:rPr>
          <w:rFonts w:eastAsia="Calibri"/>
          <w:sz w:val="24"/>
          <w:szCs w:val="24"/>
          <w:lang w:eastAsia="x-none"/>
        </w:rPr>
        <w:t>услуги VSAT канала связи для нужд Камчатского филиала АО "ТК РусГидро"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является услуги VSAT канала связи для нужд Камчатского филиала АО "ТК РусГидро"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142323074"/>
      <w:bookmarkStart w:id="11" w:name="_Toc51339693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4"/>
        <w:gridCol w:w="21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VSAT канала связи для нужд Камчатского филиала АО "ТК РусГидро"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1339697"/>
      <w:bookmarkStart w:id="21" w:name="_Toc5012512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VSAT канала связи для нужд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>Услуги VSAT канала связи для нужд Камчатского филиала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583"/>
        <w:gridCol w:w="2413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8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8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5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должна предоставляется 24 часа в сутки, 7 дней в неделю.</w:t>
            </w:r>
          </w:p>
        </w:tc>
        <w:tc>
          <w:tcPr>
            <w:tcW w:w="24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пропускной способности канала.</w:t>
            </w:r>
          </w:p>
        </w:tc>
        <w:tc>
          <w:tcPr>
            <w:tcW w:w="35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пропускная способность Прямого канала – до 2048 кбит/c;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пропускная способность Обратного канала – до 2048 кбит/c.</w:t>
            </w:r>
          </w:p>
        </w:tc>
        <w:tc>
          <w:tcPr>
            <w:tcW w:w="241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трафику передаваемому по VSAT каналу связи</w:t>
            </w:r>
          </w:p>
        </w:tc>
        <w:tc>
          <w:tcPr>
            <w:tcW w:w="358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VSAT каналу связи может передаваться трафик следующих типов: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Real-time - интерактивный или потоковый трафик приложений реального времени (телефония, видеоконференции и т.д.), критичный к потерям пакетов, задержкам и колебаниям задержки. Полоса для трафика данного типа выделяется в соответствии с технологией ODS;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Best-effort - трафик передачи данных (Интернет-трафик и т.д.), некритичный к задержкам и потерям пакетов. Полоса для передачи трафика данного типа ограничена общей пропускной способностью VSAT канала связи.</w:t>
            </w:r>
          </w:p>
        </w:tc>
        <w:tc>
          <w:tcPr>
            <w:tcW w:w="241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41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58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Пользователю организуется (инсталлируется) VSAT канал связи и круглосуточно предоставляется возможность передачи данных по VSAT каналу связи через сеть Оператора между двумя узлами связи сети Пользователя, с учетом характеристик уже установленного оборудования VSAT Абонента в месте оказания услуг.</w:t>
            </w:r>
          </w:p>
        </w:tc>
        <w:tc>
          <w:tcPr>
            <w:tcW w:w="241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использованию персональных данных</w:t>
            </w:r>
          </w:p>
        </w:tc>
        <w:tc>
          <w:tcPr>
            <w:tcW w:w="35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Абонент  обязуются обеспечивать конфиденциальность учетной информации Абонента.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персональных данных, полученных в рамках оказания услуг, должно осуществляться в соответствии с требованиями ФЗ №152-ФЗ «О персональных данных»</w:t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5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Акт и Счет-фактуру или УПД</w:t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5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перерывов связи после окончания расчетного периода  Пользователь направляет Оператору письменную претензию с указанием времени и причин перерыва связи, а также необходимые для рассмотрения претензии по существу документы. В случае признания обоснованности замечаний, Оператор производит соответствующий перерасчет суммы счета в ближайшем расчетном месяце.</w:t>
            </w:r>
          </w:p>
        </w:tc>
        <w:tc>
          <w:tcPr>
            <w:tcW w:w="2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1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5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стоянка транспортных средств транспортного участка «Возобновляемая энергетика» в районе Мутновской ГеоЭС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5937"/>
      <w:bookmarkStart w:id="31" w:name="_Toc53393312"/>
      <w:bookmarkStart w:id="32" w:name="_Toc51339699"/>
      <w:bookmarkStart w:id="33" w:name="_Toc4674351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142323087"/>
      <w:bookmarkStart w:id="38" w:name="_Toc54281228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AlterOffice/2025.3.1.0$Linux_X86_64 LibreOffice_project/431cd1b79110582f53535c95ed0a2449aadc8bf9</Application>
  <AppVersion>15.0000</AppVersion>
  <Pages>8</Pages>
  <Words>869</Words>
  <Characters>5531</Characters>
  <CharactersWithSpaces>6244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2026-05-26T14:40:10Z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