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0" w:after="4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Cs w:val="24"/>
        </w:rPr>
      </w:pPr>
      <w:r>
        <w:rPr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Технические требования на оказание услуг</w:t>
      </w:r>
    </w:p>
    <w:p>
      <w:pPr>
        <w:pStyle w:val="Normal"/>
        <w:keepNext w:val="true"/>
        <w:keepLines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</w:r>
    </w:p>
    <w:p>
      <w:pPr>
        <w:pStyle w:val="Normal"/>
        <w:spacing w:before="240" w:after="0"/>
        <w:ind w:left="502" w:hanging="0"/>
        <w:jc w:val="center"/>
        <w:rPr>
          <w:b/>
          <w:bCs/>
          <w:szCs w:val="24"/>
        </w:rPr>
      </w:pPr>
      <w:r>
        <w:rPr>
          <w:b/>
          <w:bCs/>
          <w:szCs w:val="24"/>
        </w:rPr>
        <w:t>ОКПД 2: 61.10.49.000 Услуги Интернет Елизовский ТУ для нужд Камчатского филиала АО "ТК РусГидро"</w:t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  <w:rFonts w:cs="Times New Roman"/>
            </w:rPr>
            <w:fldChar w:fldCharType="separate"/>
          </w:r>
          <w:hyperlink w:anchor="_Toc142323069">
            <w:r>
              <w:rPr>
                <w:webHidden/>
                <w:rStyle w:val="Style14"/>
                <w:rFonts w:cs="Times New Roman"/>
                <w:vanish w:val="false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</w:rPr>
              <w:tab/>
            </w:r>
            <w:r>
              <w:rPr>
                <w:rStyle w:val="Style14"/>
                <w:rFonts w:cs="Times New Roman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sz w:val="24"/>
              <w:szCs w:val="24"/>
            </w:rPr>
          </w:pPr>
          <w:hyperlink w:anchor="_Toc142323070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sz w:val="24"/>
                <w:szCs w:val="2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sz w:val="24"/>
              <w:szCs w:val="24"/>
            </w:rPr>
          </w:pPr>
          <w:hyperlink w:anchor="_Toc142323071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sz w:val="24"/>
                <w:szCs w:val="2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sz w:val="24"/>
              <w:szCs w:val="24"/>
            </w:rPr>
          </w:pPr>
          <w:hyperlink w:anchor="_Toc142323072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sz w:val="24"/>
                <w:szCs w:val="2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sz w:val="24"/>
              <w:szCs w:val="24"/>
            </w:rPr>
          </w:pPr>
          <w:hyperlink w:anchor="_Toc142323073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1.4.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sz w:val="24"/>
                <w:szCs w:val="24"/>
              </w:rPr>
              <w:t>Существующие положения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hyperlink w:anchor="_Toc142323074">
            <w:r>
              <w:rPr>
                <w:webHidden/>
                <w:rStyle w:val="Style14"/>
                <w:rFonts w:cs="Times New Roman"/>
                <w:vanish w:val="false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</w:rPr>
              <w:tab/>
            </w:r>
            <w:r>
              <w:rPr>
                <w:rStyle w:val="Style14"/>
                <w:rFonts w:cs="Times New Roman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sz w:val="24"/>
              <w:szCs w:val="24"/>
            </w:rPr>
          </w:pPr>
          <w:hyperlink w:anchor="_Toc142323075">
            <w:r>
              <w:rPr>
                <w:webHidden/>
                <w:rStyle w:val="Style14"/>
                <w:rFonts w:cs="Times New Roman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sz w:val="24"/>
                <w:szCs w:val="2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eastAsia="" w:cs="Times New Roman" w:eastAsiaTheme="minorEastAsia"/>
              <w:sz w:val="24"/>
              <w:szCs w:val="24"/>
            </w:rPr>
          </w:pPr>
          <w:hyperlink w:anchor="_Toc142323076">
            <w:r>
              <w:rPr>
                <w:webHidden/>
                <w:rStyle w:val="Style14"/>
                <w:rFonts w:cs="Times New Roman"/>
                <w:vanish w:val="false"/>
                <w:sz w:val="24"/>
                <w:szCs w:val="24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cs="Times New Roman"/>
                <w:sz w:val="24"/>
                <w:szCs w:val="2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hyperlink w:anchor="_Toc14232307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cs="Times New Roman"/>
                <w:vanish w:val="false"/>
              </w:rPr>
              <w:t>Таблица 2.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hyperlink w:anchor="_Toc14232307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_Toc142323079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cs="Times New Roman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hyperlink w:anchor="_Toc14232308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_Toc142323081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cs="Times New Roman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hyperlink w:anchor="_Toc142323083">
            <w:r>
              <w:rPr>
                <w:webHidden/>
                <w:rStyle w:val="Style14"/>
                <w:rFonts w:cs="Times New Roman"/>
                <w:vanish w:val="false"/>
              </w:rPr>
              <w:t>3.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</w:rPr>
              <w:tab/>
            </w:r>
            <w:r>
              <w:rPr>
                <w:rStyle w:val="Style14"/>
                <w:rFonts w:cs="Times New Roman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_Toc142323083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</w:rPr>
          </w:pPr>
          <w:hyperlink w:anchor="_Toc142323087">
            <w:r>
              <w:rPr>
                <w:webHidden/>
                <w:rStyle w:val="Style14"/>
                <w:rFonts w:cs="Times New Roman"/>
                <w:vanish w:val="false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</w:rPr>
              <w:tab/>
            </w:r>
            <w:r>
              <w:rPr>
                <w:rStyle w:val="Style14"/>
                <w:rFonts w:cs="Times New Roman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rStyle w:val="Style14"/>
                <w:rFonts w:cs="Times New Roman"/>
                <w:vanish w:val="false"/>
              </w:rPr>
              <w:tab/>
            </w:r>
          </w:hyperlink>
          <w:r>
            <w:rPr>
              <w:rFonts w:cs="Times New Roman"/>
              <w:vanish w:val="false"/>
            </w:rPr>
            <w:t>8</w:t>
          </w:r>
          <w:r>
            <w:rPr>
              <w:vanish w:val="false"/>
              <w:rFonts w:cs="Times New Roman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spacing w:before="0" w:after="60"/>
        <w:ind w:left="357" w:hanging="357"/>
        <w:jc w:val="center"/>
        <w:rPr>
          <w:caps/>
          <w:sz w:val="24"/>
          <w:szCs w:val="24"/>
          <w:lang w:val="ru-RU"/>
        </w:rPr>
      </w:pPr>
      <w:bookmarkStart w:id="0" w:name="_Toc142323069"/>
      <w:r>
        <w:rPr>
          <w:sz w:val="24"/>
          <w:szCs w:val="24"/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142323070"/>
      <w:bookmarkStart w:id="2" w:name="_Toc46743505"/>
      <w:r>
        <w:rPr/>
        <w:t>Обозначения и сокращения</w:t>
      </w:r>
      <w:bookmarkEnd w:id="1"/>
      <w:bookmarkEnd w:id="2"/>
    </w:p>
    <w:p>
      <w:pPr>
        <w:pStyle w:val="Normal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89"/>
        <w:gridCol w:w="7093"/>
      </w:tblGrid>
      <w:tr>
        <w:trPr>
          <w:cantSplit w:val="true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Исполнитель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Оператор связи, оказывающий услуги Заказчику на основании лицензий, выданных федеральным органом исполнительной власти в области связи. Для оказания услуг по настоящему техническому заданию Исполнитель обязан обеспечить в течение всего периода оказания услуг наличие указанных в настоящем техническом задании действительных лицензий.</w:t>
            </w:r>
          </w:p>
        </w:tc>
      </w:tr>
      <w:tr>
        <w:trPr>
          <w:cantSplit w:val="true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Абонент</w:t>
            </w: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получатель услуги от оператора связи</w:t>
            </w:r>
          </w:p>
        </w:tc>
      </w:tr>
      <w:tr>
        <w:trPr>
          <w:cantSplit w:val="true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ВОЛС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Волоконно-оптическая линия связи</w:t>
            </w:r>
          </w:p>
        </w:tc>
      </w:tr>
    </w:tbl>
    <w:p>
      <w:pPr>
        <w:pStyle w:val="Normal"/>
        <w:keepNext w:val="true"/>
        <w:keepLines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spacing w:before="0" w:after="60"/>
        <w:rPr/>
      </w:pPr>
      <w:bookmarkStart w:id="3" w:name="_Toc46743506"/>
      <w:bookmarkStart w:id="4" w:name="_Toc142323071"/>
      <w:r>
        <w:rPr/>
        <w:t>Наименование закупаемой продукции</w:t>
      </w:r>
      <w:bookmarkEnd w:id="3"/>
      <w:bookmarkEnd w:id="4"/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ОКПД 2: 61.10.49.000 Услуги Интернет Елизовский ТУ для нужд Камчатского филиала АО "ТК РусГидро"</w:t>
      </w:r>
      <w:bookmarkStart w:id="5" w:name="_Toc142323072"/>
      <w:bookmarkStart w:id="6" w:name="_Toc46743507"/>
      <w:r>
        <w:rPr>
          <w:sz w:val="24"/>
          <w:szCs w:val="24"/>
        </w:rPr>
        <w:t xml:space="preserve"> (далее – Услуги) </w:t>
      </w:r>
    </w:p>
    <w:p>
      <w:pPr>
        <w:pStyle w:val="Heading4"/>
        <w:numPr>
          <w:ilvl w:val="1"/>
          <w:numId w:val="3"/>
        </w:numPr>
        <w:tabs>
          <w:tab w:val="clear" w:pos="708"/>
          <w:tab w:val="left" w:pos="9072" w:leader="none"/>
        </w:tabs>
        <w:spacing w:before="240" w:after="60"/>
        <w:ind w:left="431" w:right="849" w:hanging="431"/>
        <w:rPr/>
      </w:pPr>
      <w:r>
        <w:rPr/>
        <w:t xml:space="preserve">Цель </w:t>
      </w:r>
      <w:bookmarkEnd w:id="6"/>
      <w:r>
        <w:rPr>
          <w:lang w:val="ru-RU"/>
        </w:rPr>
        <w:t>оказания услуг</w:t>
      </w:r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bookmarkStart w:id="7" w:name="_Toc46743508"/>
      <w:r>
        <w:rPr>
          <w:rFonts w:eastAsia="Calibri"/>
          <w:sz w:val="24"/>
          <w:szCs w:val="24"/>
          <w:lang w:eastAsia="x-none"/>
        </w:rPr>
        <w:t xml:space="preserve">Целью оказания услуг является обеспечение </w:t>
      </w:r>
      <w:bookmarkEnd w:id="7"/>
      <w:r>
        <w:rPr>
          <w:rFonts w:eastAsia="Calibri"/>
          <w:sz w:val="24"/>
          <w:szCs w:val="24"/>
          <w:lang w:eastAsia="x-none"/>
        </w:rPr>
        <w:t>доступа в сеть Интернет Елизовского транспортного участка для нужд</w:t>
      </w:r>
      <w:r>
        <w:rPr>
          <w:sz w:val="24"/>
          <w:szCs w:val="24"/>
        </w:rPr>
        <w:t xml:space="preserve"> Камчатского филиала АО "ТК РусГидро"</w:t>
      </w:r>
    </w:p>
    <w:p>
      <w:pPr>
        <w:pStyle w:val="Heading4"/>
        <w:numPr>
          <w:ilvl w:val="1"/>
          <w:numId w:val="3"/>
        </w:numPr>
        <w:rPr/>
      </w:pPr>
      <w:bookmarkStart w:id="8" w:name="_Toc142323073"/>
      <w:r>
        <w:rPr>
          <w:lang w:val="ru-RU"/>
        </w:rPr>
        <w:t>Существующие положения</w:t>
      </w:r>
      <w:bookmarkEnd w:id="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Задача: оказания услуг является обеспечение доступа в сеть Интернет Елизовского транспортного участка для нужд Камчатского филиала АО "ТК РусГидро"</w:t>
      </w:r>
      <w:bookmarkStart w:id="9" w:name="_Hlk48209761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sz w:val="24"/>
          <w:szCs w:val="24"/>
          <w:lang w:val="ru-RU"/>
        </w:rPr>
      </w:pPr>
      <w:bookmarkStart w:id="10" w:name="_Toc142323074"/>
      <w:bookmarkStart w:id="11" w:name="_Toc51339693"/>
      <w:bookmarkStart w:id="12" w:name="_Toc50125126"/>
      <w:bookmarkEnd w:id="9"/>
      <w:bookmarkEnd w:id="12"/>
      <w:r>
        <w:rPr>
          <w:iCs/>
          <w:sz w:val="24"/>
          <w:szCs w:val="24"/>
          <w:lang w:val="ru-RU"/>
        </w:rPr>
        <w:t>Требования</w:t>
      </w:r>
      <w:r>
        <w:rPr>
          <w:iCs/>
          <w:sz w:val="24"/>
          <w:szCs w:val="24"/>
        </w:rPr>
        <w:t xml:space="preserve"> к продукции</w:t>
      </w:r>
      <w:bookmarkEnd w:id="10"/>
      <w:bookmarkEnd w:id="11"/>
    </w:p>
    <w:p>
      <w:pPr>
        <w:pStyle w:val="Heading4"/>
        <w:numPr>
          <w:ilvl w:val="1"/>
          <w:numId w:val="3"/>
        </w:numPr>
        <w:rPr/>
      </w:pPr>
      <w:bookmarkStart w:id="13" w:name="_Toc142323075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3"/>
    </w:p>
    <w:p>
      <w:pPr>
        <w:pStyle w:val="Heading3"/>
        <w:numPr>
          <w:ilvl w:val="2"/>
          <w:numId w:val="3"/>
        </w:numPr>
        <w:rPr/>
      </w:pPr>
      <w:bookmarkStart w:id="14" w:name="_Toc142323076"/>
      <w:r>
        <w:rPr>
          <w:lang w:val="ru-RU"/>
        </w:rPr>
        <w:t>Требования к перечню и объему услуг</w:t>
      </w:r>
      <w:bookmarkEnd w:id="14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5" w:name="_Toc142323077"/>
      <w:bookmarkStart w:id="16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6"/>
      <w:r>
        <w:rPr>
          <w:sz w:val="24"/>
          <w:szCs w:val="24"/>
          <w:lang w:val="ru-RU"/>
        </w:rPr>
        <w:t>и объем оказываемых услуг</w:t>
      </w:r>
      <w:bookmarkEnd w:id="15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4"/>
        <w:gridCol w:w="2117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Интернет Елизовский ТУ для нужд Камчатского филиала АО "ТК РусГидро"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7" w:name="_Toc142323078"/>
      <w:bookmarkStart w:id="18" w:name="_Toc51339696"/>
      <w:r>
        <w:rPr>
          <w:lang w:val="ru-RU"/>
        </w:rPr>
        <w:t xml:space="preserve">Требования </w:t>
      </w:r>
      <w:bookmarkEnd w:id="18"/>
      <w:r>
        <w:rPr>
          <w:lang w:val="ru-RU"/>
        </w:rPr>
        <w:t>к срокам оказания услуг</w:t>
      </w:r>
      <w:bookmarkEnd w:id="17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9" w:name="_Toc142323079"/>
      <w:bookmarkStart w:id="20" w:name="_Toc51339697"/>
      <w:bookmarkStart w:id="21" w:name="_Toc50125127"/>
      <w:bookmarkStart w:id="22" w:name="_Toc50125126_Копия_1"/>
      <w:bookmarkEnd w:id="2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3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0"/>
      <w:bookmarkEnd w:id="21"/>
      <w:bookmarkEnd w:id="23"/>
      <w:r>
        <w:rPr>
          <w:sz w:val="24"/>
          <w:szCs w:val="24"/>
          <w:lang w:val="ru-RU"/>
        </w:rPr>
        <w:t>оказания услуг</w:t>
      </w:r>
      <w:bookmarkEnd w:id="1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3828"/>
        <w:gridCol w:w="2268"/>
        <w:gridCol w:w="3117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3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Интернет Елизовский ТУ для нужд Камчатского филиала АО "ТК РусГидро"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4" w:name="_Toc51339698"/>
      <w:bookmarkStart w:id="25" w:name="_Toc142323080"/>
      <w:bookmarkStart w:id="26" w:name="_Toc46743511"/>
      <w:r>
        <w:rPr/>
        <w:t xml:space="preserve">Требования к </w:t>
      </w:r>
      <w:bookmarkEnd w:id="26"/>
      <w:r>
        <w:rPr>
          <w:lang w:val="ru-RU"/>
        </w:rPr>
        <w:t>качеству услуг</w:t>
      </w:r>
      <w:bookmarkEnd w:id="25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bookmarkStart w:id="27" w:name="_Toc142323081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4"/>
      <w:r>
        <w:rPr>
          <w:sz w:val="24"/>
          <w:szCs w:val="24"/>
          <w:lang w:val="ru-RU"/>
        </w:rPr>
        <w:t>качеству услуг</w:t>
      </w:r>
      <w:bookmarkEnd w:id="27"/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8"/>
          <w:b w:val="false"/>
          <w:sz w:val="24"/>
          <w:szCs w:val="24"/>
        </w:rPr>
      </w:pPr>
      <w:r>
        <w:rPr>
          <w:rStyle w:val="Style8"/>
          <w:b w:val="false"/>
          <w:sz w:val="24"/>
          <w:szCs w:val="24"/>
        </w:rPr>
        <w:t xml:space="preserve"> </w:t>
      </w:r>
    </w:p>
    <w:p>
      <w:pPr>
        <w:pStyle w:val="Normal"/>
        <w:rPr>
          <w:i/>
          <w:i/>
          <w:iCs/>
          <w:sz w:val="24"/>
          <w:szCs w:val="24"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№1 Таблицы 2): </w:t>
      </w:r>
      <w:r>
        <w:rPr>
          <w:b/>
          <w:bCs/>
          <w:i w:val="false"/>
          <w:iCs w:val="false"/>
          <w:sz w:val="24"/>
          <w:szCs w:val="24"/>
          <w:shd w:fill="auto" w:val="clear"/>
        </w:rPr>
        <w:t xml:space="preserve">Услуги Интернет Елизовский ТУ для нужд Камчатского филиала АО "ТК РусГидро" (далее – Услуги) </w:t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24"/>
        <w:gridCol w:w="2508"/>
        <w:gridCol w:w="3378"/>
        <w:gridCol w:w="2618"/>
        <w:gridCol w:w="2865"/>
        <w:gridCol w:w="2691"/>
      </w:tblGrid>
      <w:tr>
        <w:trPr/>
        <w:tc>
          <w:tcPr>
            <w:tcW w:w="8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50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37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48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69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37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8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9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8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8"/>
          </w:p>
        </w:tc>
        <w:tc>
          <w:tcPr>
            <w:tcW w:w="25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3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8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6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88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6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88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6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времени оказания услуг</w:t>
            </w:r>
          </w:p>
        </w:tc>
        <w:tc>
          <w:tcPr>
            <w:tcW w:w="33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обеспечивает предоставление услуг 24 часа в сутки, ежедневно, без перерывов, за исключением случаев возникновения внештатных (аварийных) ситуаций. Время восстановление линии связи в случае аварии устанавливается в соответствии с нормами, предусмотренными для этих видов работ.</w:t>
            </w:r>
          </w:p>
        </w:tc>
        <w:tc>
          <w:tcPr>
            <w:tcW w:w="26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5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скорости канала доступа к сети ИНтернет</w:t>
            </w:r>
          </w:p>
        </w:tc>
        <w:tc>
          <w:tcPr>
            <w:tcW w:w="337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Скорость канала доступа в сеть Интернет должна составлять   до 100Мбит/с. до конечного коммутатора исполнителя.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1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65" w:type="dxa"/>
            <w:tcBorders>
              <w:top w:val="nil"/>
            </w:tcBorders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9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IP адресу точки подключения доступа к сети Интернет.</w:t>
            </w:r>
          </w:p>
        </w:tc>
        <w:tc>
          <w:tcPr>
            <w:tcW w:w="337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предоставляет Real IP (статический IP адрес) для точки подключения доступа к сети Интернет.</w:t>
            </w:r>
          </w:p>
        </w:tc>
        <w:tc>
          <w:tcPr>
            <w:tcW w:w="261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5" w:type="dxa"/>
            <w:tcBorders>
              <w:top w:val="nil"/>
            </w:tcBorders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9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88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61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оказанию услуг</w:t>
            </w:r>
          </w:p>
        </w:tc>
        <w:tc>
          <w:tcPr>
            <w:tcW w:w="3378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Абонент подключается к сети Ethernet посредством ВОЛС от пограничного коммутатора до оконечного оборудования Абонента.  филиала АО "ТК РусГидро".</w:t>
            </w:r>
          </w:p>
        </w:tc>
        <w:tc>
          <w:tcPr>
            <w:tcW w:w="26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88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6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использованию персональных данных</w:t>
            </w:r>
          </w:p>
        </w:tc>
        <w:tc>
          <w:tcPr>
            <w:tcW w:w="33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Абонент  обязуются обеспечивать конфиденциальность учетной информации Абонента.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Использование персональных данных, полученных в рамках оказания услуг, должно осуществляться в соответствии с требованиями ФЗ №152-ФЗ «О персональных данных»</w:t>
            </w:r>
          </w:p>
        </w:tc>
        <w:tc>
          <w:tcPr>
            <w:tcW w:w="26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88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отчетной документации</w:t>
            </w:r>
          </w:p>
        </w:tc>
        <w:tc>
          <w:tcPr>
            <w:tcW w:w="33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предоставляет Заказчику следующую отчетную документацию: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Счёт;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Акт и Счет-фактуру или УПД</w:t>
            </w:r>
          </w:p>
        </w:tc>
        <w:tc>
          <w:tcPr>
            <w:tcW w:w="26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5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69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88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6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гарантии качества услуг</w:t>
            </w:r>
          </w:p>
        </w:tc>
        <w:tc>
          <w:tcPr>
            <w:tcW w:w="33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   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обеспечивает передачу информации на своем участке сети, как в адрес, так и от Абонента, обеспечивая лишь возможность доступа к узлам, имеющим активные соединения в сети Интернет на момент запроса. Исполнитель не несет ответственности за качество линий связи, если их предоставляют другие организации.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   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обеспечивает гарантированный доступ к услугам, лежащим в сфере его контроля только по коммуникациям в пределах своей сети.</w:t>
            </w:r>
          </w:p>
        </w:tc>
        <w:tc>
          <w:tcPr>
            <w:tcW w:w="26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6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9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88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6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6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2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508" w:type="dxa"/>
            <w:tcBorders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Место оказания услуг</w:t>
            </w:r>
          </w:p>
        </w:tc>
        <w:tc>
          <w:tcPr>
            <w:tcW w:w="33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684005, Камчатский край, г. Елизово, ул. Мурманская 19</w:t>
            </w:r>
          </w:p>
        </w:tc>
        <w:tc>
          <w:tcPr>
            <w:tcW w:w="26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8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691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  <w:lang w:val="ru-RU"/>
        </w:rPr>
      </w:pPr>
      <w:bookmarkStart w:id="29" w:name="_Toc142323083"/>
      <w:bookmarkStart w:id="30" w:name="_Toc53395937"/>
      <w:bookmarkStart w:id="31" w:name="_Toc53393312"/>
      <w:bookmarkStart w:id="32" w:name="_Toc51339699"/>
      <w:bookmarkStart w:id="33" w:name="_Toc46743519"/>
      <w:bookmarkEnd w:id="32"/>
      <w:bookmarkEnd w:id="33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30"/>
      <w:bookmarkEnd w:id="31"/>
      <w:r>
        <w:rPr>
          <w:sz w:val="24"/>
          <w:szCs w:val="24"/>
          <w:lang w:val="ru-RU"/>
        </w:rPr>
        <w:t xml:space="preserve"> на этапе закупки</w:t>
      </w:r>
      <w:bookmarkEnd w:id="29"/>
    </w:p>
    <w:p>
      <w:pPr>
        <w:pStyle w:val="Heading4"/>
        <w:numPr>
          <w:ilvl w:val="1"/>
          <w:numId w:val="3"/>
        </w:numPr>
        <w:ind w:firstLine="277"/>
        <w:jc w:val="both"/>
        <w:rPr>
          <w:b w:val="false"/>
          <w:lang w:val="ru-RU"/>
        </w:rPr>
      </w:pPr>
      <w:bookmarkStart w:id="34" w:name="_Toc142323084"/>
      <w:r>
        <w:rPr>
          <w:b w:val="false"/>
          <w:lang w:val="ru-RU"/>
        </w:rPr>
        <w:t xml:space="preserve">В обоснование стоимости своей заявки Участник предоставляет Коммерческое предложение. </w:t>
      </w:r>
      <w:bookmarkEnd w:id="34"/>
    </w:p>
    <w:p>
      <w:pPr>
        <w:pStyle w:val="Heading4"/>
        <w:numPr>
          <w:ilvl w:val="1"/>
          <w:numId w:val="3"/>
        </w:numPr>
        <w:ind w:firstLine="277"/>
        <w:jc w:val="both"/>
        <w:rPr>
          <w:b w:val="false"/>
          <w:lang w:val="ru-RU"/>
        </w:rPr>
      </w:pPr>
      <w:bookmarkStart w:id="35" w:name="_Toc142323085"/>
      <w:r>
        <w:rPr>
          <w:b w:val="false"/>
          <w:lang w:val="ru-RU"/>
        </w:rPr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 и прочие расходы, связанные с оказанием услуг.</w:t>
      </w:r>
      <w:bookmarkEnd w:id="35"/>
    </w:p>
    <w:p>
      <w:pPr>
        <w:pStyle w:val="Heading4"/>
        <w:numPr>
          <w:ilvl w:val="1"/>
          <w:numId w:val="3"/>
        </w:numPr>
        <w:ind w:firstLine="277"/>
        <w:jc w:val="both"/>
        <w:rPr>
          <w:b w:val="false"/>
          <w:lang w:val="ru-RU"/>
        </w:rPr>
      </w:pPr>
      <w:bookmarkStart w:id="36" w:name="_Toc142323086"/>
      <w:r>
        <w:rPr>
          <w:b w:val="false"/>
          <w:lang w:val="ru-RU"/>
        </w:rPr>
        <w:t>Дополнительные документы по ценообразованию в состав заявки Участника не включаются.</w:t>
      </w:r>
      <w:bookmarkEnd w:id="36"/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firstLine="352"/>
        <w:jc w:val="center"/>
        <w:rPr>
          <w:b w:val="false"/>
          <w:sz w:val="24"/>
          <w:szCs w:val="24"/>
          <w:lang w:val="ru-RU"/>
        </w:rPr>
      </w:pPr>
      <w:bookmarkStart w:id="37" w:name="_Toc142323087"/>
      <w:bookmarkStart w:id="38" w:name="_Toc54281228"/>
      <w:r>
        <w:rPr>
          <w:sz w:val="24"/>
          <w:szCs w:val="24"/>
          <w:lang w:val="ru-RU"/>
        </w:rPr>
        <w:t>Требования к документации по ценообразованию на этапе заключения (исполнения) договора</w:t>
      </w:r>
      <w:bookmarkEnd w:id="37"/>
      <w:bookmarkEnd w:id="38"/>
    </w:p>
    <w:p>
      <w:pPr>
        <w:pStyle w:val="Heading4"/>
        <w:numPr>
          <w:ilvl w:val="1"/>
          <w:numId w:val="3"/>
        </w:numPr>
        <w:spacing w:before="120" w:after="60"/>
        <w:ind w:firstLine="352"/>
        <w:jc w:val="both"/>
        <w:rPr>
          <w:b w:val="false"/>
          <w:lang w:val="ru-RU"/>
        </w:rPr>
      </w:pPr>
      <w:bookmarkStart w:id="39" w:name="_Toc142323088"/>
      <w:r>
        <w:rPr>
          <w:b w:val="false"/>
          <w:lang w:val="ru-RU"/>
        </w:rPr>
        <w:t>По результатам настоящей закупки заключается договор с предельной ценой, равной начальной (максимальной) цене договора, установленной в Документации о закупке</w:t>
      </w:r>
      <w:bookmarkEnd w:id="39"/>
      <w:r>
        <w:rPr>
          <w:b w:val="false"/>
          <w:lang w:val="ru-RU"/>
        </w:rPr>
        <w:t>.</w:t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93620-6B97-40B5-BF58-438445F93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Application>AlterOffice/2025.3.1.0$Linux_X86_64 LibreOffice_project/431cd1b79110582f53535c95ed0a2449aadc8bf9</Application>
  <AppVersion>15.0000</AppVersion>
  <Pages>8</Pages>
  <Words>848</Words>
  <Characters>5400</Characters>
  <CharactersWithSpaces>6092</CharactersWithSpaces>
  <Paragraphs>161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tratsevskijit@corp.gidroogk.com</cp:lastModifiedBy>
  <cp:lastPrinted>2023-12-11T04:55:00Z</cp:lastPrinted>
  <dcterms:modified xsi:type="dcterms:W3CDTF">2026-05-27T10:13:08Z</dcterms:modified>
  <cp:revision>46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