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5.xml" ContentType="application/vnd.openxmlformats-officedocument.wordprocessingml.header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40" w:after="4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Cs w:val="24"/>
        </w:rPr>
      </w:pPr>
      <w:r>
        <w:rPr>
          <w:szCs w:val="24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Технические требования на оказание услуг</w:t>
      </w:r>
    </w:p>
    <w:p>
      <w:pPr>
        <w:pStyle w:val="Normal"/>
        <w:keepNext w:val="true"/>
        <w:keepLines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</w:r>
    </w:p>
    <w:p>
      <w:pPr>
        <w:pStyle w:val="Normal"/>
        <w:spacing w:before="240" w:after="0"/>
        <w:ind w:left="502" w:hanging="0"/>
        <w:jc w:val="center"/>
        <w:rPr>
          <w:b/>
          <w:bCs/>
          <w:szCs w:val="24"/>
        </w:rPr>
      </w:pPr>
      <w:r>
        <w:rPr>
          <w:b/>
          <w:bCs/>
          <w:szCs w:val="24"/>
        </w:rPr>
        <w:t>ОКПД 2: 61.10.49.000 Услуги Интернет транспортного участка «КТЭЦ» для нужд Камчатского филиала АО "ТК РусГидро"</w:t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Normal"/>
        <w:spacing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eastAsia="" w:cs="Times New Roman" w:eastAsiaTheme="minorEastAsia"/>
              <w:b w:val="false"/>
              <w:bCs w:val="false"/>
            </w:rPr>
          </w:pPr>
          <w:r>
            <w:fldChar w:fldCharType="begin"/>
          </w:r>
          <w:r>
            <w:rPr>
              <w:webHidden/>
              <w:rStyle w:val="Style14"/>
              <w:vanish w:val="false"/>
              <w:rFonts w:cs="Times New Roman"/>
            </w:rPr>
            <w:instrText xml:space="preserve"> TOC \z \o "1-4" \u \h</w:instrText>
          </w:r>
          <w:r>
            <w:rPr>
              <w:webHidden/>
              <w:rStyle w:val="Style14"/>
              <w:vanish w:val="false"/>
              <w:rFonts w:cs="Times New Roman"/>
            </w:rPr>
            <w:fldChar w:fldCharType="separate"/>
          </w:r>
          <w:hyperlink w:anchor="_Toc142323069">
            <w:r>
              <w:rPr>
                <w:webHidden/>
                <w:rStyle w:val="Style14"/>
                <w:rFonts w:cs="Times New Roman"/>
                <w:vanish w:val="false"/>
              </w:rPr>
              <w:t>1.</w:t>
            </w:r>
            <w:r>
              <w:rPr>
                <w:rStyle w:val="Style14"/>
                <w:rFonts w:eastAsia="" w:cs="Times New Roman" w:eastAsiaTheme="minorEastAsia"/>
                <w:b w:val="false"/>
                <w:bCs w:val="false"/>
              </w:rPr>
              <w:tab/>
            </w:r>
            <w:r>
              <w:rPr>
                <w:rStyle w:val="Style14"/>
                <w:rFonts w:cs="Times New Roman"/>
              </w:rPr>
              <w:t>Общие сведения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_Toc142323069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eastAsia="" w:cs="Times New Roman" w:eastAsiaTheme="minorEastAsia"/>
              <w:sz w:val="24"/>
              <w:szCs w:val="24"/>
            </w:rPr>
          </w:pPr>
          <w:hyperlink w:anchor="_Toc142323070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1.1.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sz w:val="24"/>
                <w:szCs w:val="24"/>
              </w:rPr>
              <w:t>Обозначения и сокращения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  <w:sz w:val="24"/>
                <w:szCs w:val="24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eastAsia="" w:cs="Times New Roman" w:eastAsiaTheme="minorEastAsia"/>
              <w:sz w:val="24"/>
              <w:szCs w:val="24"/>
            </w:rPr>
          </w:pPr>
          <w:hyperlink w:anchor="_Toc142323071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1.2.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sz w:val="24"/>
                <w:szCs w:val="24"/>
              </w:rPr>
              <w:t>Наименование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  <w:sz w:val="24"/>
                <w:szCs w:val="2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eastAsia="" w:cs="Times New Roman" w:eastAsiaTheme="minorEastAsia"/>
              <w:sz w:val="24"/>
              <w:szCs w:val="24"/>
            </w:rPr>
          </w:pPr>
          <w:hyperlink w:anchor="_Toc142323072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1.3.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sz w:val="24"/>
                <w:szCs w:val="24"/>
              </w:rPr>
              <w:t>Цель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  <w:sz w:val="24"/>
                <w:szCs w:val="2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eastAsia="" w:cs="Times New Roman" w:eastAsiaTheme="minorEastAsia"/>
              <w:sz w:val="24"/>
              <w:szCs w:val="24"/>
            </w:rPr>
          </w:pPr>
          <w:hyperlink w:anchor="_Toc142323073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1.4.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sz w:val="24"/>
                <w:szCs w:val="24"/>
              </w:rPr>
              <w:t>Существующие положения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  <w:sz w:val="24"/>
                <w:szCs w:val="2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eastAsia="" w:cs="Times New Roman" w:eastAsiaTheme="minorEastAsia"/>
              <w:b w:val="false"/>
              <w:bCs w:val="false"/>
            </w:rPr>
          </w:pPr>
          <w:hyperlink w:anchor="_Toc142323074">
            <w:r>
              <w:rPr>
                <w:webHidden/>
                <w:rStyle w:val="Style14"/>
                <w:rFonts w:cs="Times New Roman"/>
                <w:vanish w:val="false"/>
              </w:rPr>
              <w:t>2.</w:t>
            </w:r>
            <w:r>
              <w:rPr>
                <w:rStyle w:val="Style14"/>
                <w:rFonts w:eastAsia="" w:cs="Times New Roman" w:eastAsiaTheme="minorEastAsia"/>
                <w:b w:val="false"/>
                <w:bCs w:val="false"/>
              </w:rPr>
              <w:tab/>
            </w:r>
            <w:r>
              <w:rPr>
                <w:rStyle w:val="Style14"/>
                <w:rFonts w:cs="Times New Roman"/>
                <w:iCs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rPr>
              <w:rFonts w:eastAsia="" w:cs="Times New Roman" w:eastAsiaTheme="minorEastAsia"/>
              <w:sz w:val="24"/>
              <w:szCs w:val="24"/>
            </w:rPr>
          </w:pPr>
          <w:hyperlink w:anchor="_Toc142323075">
            <w:r>
              <w:rPr>
                <w:webHidden/>
                <w:rStyle w:val="Style14"/>
                <w:rFonts w:cs="Times New Roman"/>
                <w:iCs/>
                <w:vanish w:val="false"/>
                <w:sz w:val="24"/>
                <w:szCs w:val="24"/>
              </w:rPr>
              <w:t>2.1.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sz w:val="24"/>
                <w:szCs w:val="24"/>
              </w:rPr>
              <w:t>Требования к объемам и срокам оказания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  <w:sz w:val="24"/>
                <w:szCs w:val="2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9911" w:leader="dot"/>
            </w:tabs>
            <w:rPr>
              <w:rFonts w:eastAsia="" w:cs="Times New Roman" w:eastAsiaTheme="minorEastAsia"/>
              <w:sz w:val="24"/>
              <w:szCs w:val="24"/>
            </w:rPr>
          </w:pPr>
          <w:hyperlink w:anchor="_Toc142323076">
            <w:r>
              <w:rPr>
                <w:webHidden/>
                <w:rStyle w:val="Style14"/>
                <w:rFonts w:cs="Times New Roman"/>
                <w:vanish w:val="false"/>
                <w:sz w:val="24"/>
                <w:szCs w:val="24"/>
              </w:rPr>
              <w:t>2.1.1.</w:t>
            </w:r>
            <w:r>
              <w:rPr>
                <w:rStyle w:val="Style14"/>
                <w:rFonts w:eastAsia="" w:cs="Times New Roman" w:eastAsiaTheme="minorEastAsia"/>
                <w:sz w:val="24"/>
                <w:szCs w:val="24"/>
              </w:rPr>
              <w:tab/>
            </w:r>
            <w:r>
              <w:rPr>
                <w:rStyle w:val="Style14"/>
                <w:rFonts w:cs="Times New Roman"/>
                <w:sz w:val="24"/>
                <w:szCs w:val="24"/>
              </w:rPr>
              <w:t>Требования к перечню и объему услуг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  <w:sz w:val="24"/>
                <w:szCs w:val="2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eastAsia="" w:cs="Times New Roman" w:eastAsiaTheme="minorEastAsia"/>
              <w:b w:val="false"/>
              <w:bCs w:val="false"/>
            </w:rPr>
          </w:pPr>
          <w:hyperlink w:anchor="_Toc142323077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_Toc142323077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rFonts w:cs="Times New Roman"/>
                <w:vanish w:val="false"/>
              </w:rPr>
              <w:t>Таблица 2. Перечень и объем оказываемых услуг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eastAsia="" w:cs="Times New Roman" w:eastAsiaTheme="minorEastAsia"/>
              <w:b w:val="false"/>
              <w:bCs w:val="false"/>
            </w:rPr>
          </w:pPr>
          <w:hyperlink w:anchor="_Toc142323079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_Toc142323079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rFonts w:cs="Times New Roman"/>
                <w:vanish w:val="false"/>
              </w:rPr>
              <w:t>Таблица 3. Требования к срокам оказания услуг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eastAsia="" w:cs="Times New Roman" w:eastAsiaTheme="minorEastAsia"/>
              <w:b w:val="false"/>
              <w:bCs w:val="false"/>
            </w:rPr>
          </w:pPr>
          <w:hyperlink w:anchor="_Toc142323081"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_Toc142323081 \h</w:instrText>
            </w:r>
            <w:r>
              <w:rPr>
                <w:webHidden/>
              </w:rPr>
              <w:fldChar w:fldCharType="separate"/>
            </w:r>
            <w:r>
              <w:rPr>
                <w:webHidden/>
                <w:rStyle w:val="Style14"/>
                <w:rFonts w:cs="Times New Roman"/>
                <w:vanish w:val="false"/>
              </w:rPr>
              <w:t>Таблица 4. Требования к качеству услуг</w:t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eastAsia="" w:cs="Times New Roman" w:eastAsiaTheme="minorEastAsia"/>
              <w:b w:val="false"/>
              <w:bCs w:val="false"/>
            </w:rPr>
          </w:pPr>
          <w:hyperlink w:anchor="_Toc142323083">
            <w:r>
              <w:rPr>
                <w:webHidden/>
                <w:rStyle w:val="Style14"/>
                <w:rFonts w:cs="Times New Roman"/>
                <w:vanish w:val="false"/>
              </w:rPr>
              <w:t>3.</w:t>
            </w:r>
            <w:r>
              <w:rPr>
                <w:rStyle w:val="Style14"/>
                <w:rFonts w:eastAsia="" w:cs="Times New Roman" w:eastAsiaTheme="minorEastAsia"/>
                <w:b w:val="false"/>
                <w:bCs w:val="false"/>
              </w:rPr>
              <w:tab/>
            </w:r>
            <w:r>
              <w:rPr>
                <w:rStyle w:val="Style14"/>
                <w:rFonts w:cs="Times New Roman"/>
              </w:rPr>
              <w:t>Требования к документации по ценообразованию на этапе закупки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_Toc142323083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  <w:rFonts w:cs="Times New Roman"/>
                <w:vanish w:val="false"/>
              </w:rPr>
              <w:tab/>
              <w:t>8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eastAsia="" w:cs="Times New Roman" w:eastAsiaTheme="minorEastAsia"/>
              <w:b w:val="false"/>
              <w:bCs w:val="false"/>
            </w:rPr>
          </w:pPr>
          <w:hyperlink w:anchor="_Toc142323087">
            <w:r>
              <w:rPr>
                <w:webHidden/>
                <w:rStyle w:val="Style14"/>
                <w:rFonts w:cs="Times New Roman"/>
                <w:vanish w:val="false"/>
              </w:rPr>
              <w:t>4.</w:t>
            </w:r>
            <w:r>
              <w:rPr>
                <w:rStyle w:val="Style14"/>
                <w:rFonts w:eastAsia="" w:cs="Times New Roman" w:eastAsiaTheme="minorEastAsia"/>
                <w:b w:val="false"/>
                <w:bCs w:val="false"/>
              </w:rPr>
              <w:tab/>
            </w:r>
            <w:r>
              <w:rPr>
                <w:rStyle w:val="Style14"/>
                <w:rFonts w:cs="Times New Roman"/>
              </w:rPr>
              <w:t>Требования к документации по ценообразованию на этапе заключения (исполнения) договора</w:t>
            </w:r>
            <w:r>
              <w:rPr>
                <w:rStyle w:val="Style14"/>
                <w:rFonts w:cs="Times New Roman"/>
                <w:vanish w:val="false"/>
              </w:rPr>
              <w:tab/>
            </w:r>
          </w:hyperlink>
          <w:r>
            <w:rPr>
              <w:rFonts w:cs="Times New Roman"/>
              <w:vanish w:val="false"/>
            </w:rPr>
            <w:t>8</w:t>
          </w:r>
          <w:r>
            <w:rPr>
              <w:vanish w:val="false"/>
              <w:rFonts w:cs="Times New Roman"/>
            </w:rPr>
            <w:fldChar w:fldCharType="end"/>
          </w:r>
        </w:p>
      </w:sdtContent>
    </w:sdt>
    <w:p>
      <w:pPr>
        <w:pStyle w:val="Heading2"/>
        <w:numPr>
          <w:ilvl w:val="0"/>
          <w:numId w:val="0"/>
        </w:numPr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spacing w:before="0" w:after="60"/>
        <w:ind w:left="357" w:hanging="357"/>
        <w:jc w:val="center"/>
        <w:rPr>
          <w:caps/>
          <w:sz w:val="24"/>
          <w:szCs w:val="24"/>
          <w:lang w:val="ru-RU"/>
        </w:rPr>
      </w:pPr>
      <w:bookmarkStart w:id="0" w:name="_Toc142323069"/>
      <w:r>
        <w:rPr>
          <w:sz w:val="24"/>
          <w:szCs w:val="24"/>
          <w:lang w:val="ru-RU"/>
        </w:rPr>
        <w:t>Общие сведения</w:t>
      </w:r>
      <w:bookmarkEnd w:id="0"/>
    </w:p>
    <w:p>
      <w:pPr>
        <w:pStyle w:val="Heading4"/>
        <w:numPr>
          <w:ilvl w:val="1"/>
          <w:numId w:val="3"/>
        </w:numPr>
        <w:rPr/>
      </w:pPr>
      <w:bookmarkStart w:id="1" w:name="_Toc142323070"/>
      <w:bookmarkStart w:id="2" w:name="_Toc46743505"/>
      <w:r>
        <w:rPr/>
        <w:t>Обозначения и сокращения</w:t>
      </w:r>
      <w:bookmarkEnd w:id="1"/>
      <w:bookmarkEnd w:id="2"/>
    </w:p>
    <w:p>
      <w:pPr>
        <w:pStyle w:val="Normal"/>
        <w:rPr>
          <w:rStyle w:val="Style8"/>
          <w:b w:val="false"/>
          <w:bCs/>
          <w:iCs/>
          <w:sz w:val="24"/>
          <w:szCs w:val="24"/>
        </w:rPr>
      </w:pPr>
      <w:r>
        <w:rPr>
          <w:b w:val="false"/>
          <w:bCs/>
          <w:iCs/>
          <w:sz w:val="24"/>
          <w:szCs w:val="24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689"/>
        <w:gridCol w:w="7093"/>
      </w:tblGrid>
      <w:tr>
        <w:trPr>
          <w:cantSplit w:val="true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>Исполнитель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>Оператор связи, оказывающий услуги Заказчику на основании лицензий, выданных федеральным органом исполнительной власти в области связи. Для оказания услуг по настоящему техническому заданию Исполнитель обязан обеспечить в течение всего периода оказания услуг наличие указанных в настоящем техническом задании действительных лицензий.</w:t>
            </w:r>
          </w:p>
        </w:tc>
      </w:tr>
      <w:tr>
        <w:trPr>
          <w:cantSplit w:val="true"/>
        </w:trPr>
        <w:tc>
          <w:tcPr>
            <w:tcW w:w="2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>Абонент</w:t>
            </w:r>
          </w:p>
        </w:tc>
        <w:tc>
          <w:tcPr>
            <w:tcW w:w="7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>получатель услуги от оператора связи</w:t>
            </w:r>
          </w:p>
        </w:tc>
      </w:tr>
      <w:tr>
        <w:trPr>
          <w:cantSplit w:val="true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>ВОЛС</w:t>
            </w:r>
          </w:p>
        </w:tc>
        <w:tc>
          <w:tcPr>
            <w:tcW w:w="7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/>
                <w:sz w:val="24"/>
                <w:szCs w:val="24"/>
                <w:lang w:eastAsia="x-none"/>
              </w:rPr>
              <w:t>Волоконно-оптическая линия связи</w:t>
            </w:r>
          </w:p>
        </w:tc>
      </w:tr>
    </w:tbl>
    <w:p>
      <w:pPr>
        <w:pStyle w:val="Normal"/>
        <w:keepNext w:val="true"/>
        <w:keepLines/>
        <w:jc w:val="both"/>
        <w:rPr>
          <w:rFonts w:eastAsia="Calibri"/>
          <w:sz w:val="24"/>
          <w:szCs w:val="24"/>
          <w:lang w:eastAsia="x-none"/>
        </w:rPr>
      </w:pPr>
      <w:r>
        <w:rPr>
          <w:rFonts w:eastAsia="Calibri"/>
          <w:sz w:val="24"/>
          <w:szCs w:val="24"/>
          <w:lang w:eastAsia="x-none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Heading4"/>
        <w:numPr>
          <w:ilvl w:val="1"/>
          <w:numId w:val="3"/>
        </w:numPr>
        <w:spacing w:before="0" w:after="60"/>
        <w:rPr/>
      </w:pPr>
      <w:bookmarkStart w:id="3" w:name="_Toc46743506"/>
      <w:bookmarkStart w:id="4" w:name="_Toc142323071"/>
      <w:r>
        <w:rPr/>
        <w:t>Наименование закупаемой продукции</w:t>
      </w:r>
      <w:bookmarkEnd w:id="3"/>
      <w:bookmarkEnd w:id="4"/>
    </w:p>
    <w:p>
      <w:pPr>
        <w:pStyle w:val="Normal"/>
        <w:spacing w:lineRule="auto" w:line="276"/>
        <w:jc w:val="both"/>
        <w:rPr>
          <w:sz w:val="24"/>
          <w:szCs w:val="24"/>
        </w:rPr>
      </w:pPr>
      <w:r>
        <w:rPr>
          <w:sz w:val="24"/>
          <w:szCs w:val="24"/>
        </w:rPr>
        <w:t>ОКПД 2: 61.10.49.000 Услуги Интернет транспортного участка «КТЭЦ» для нужд Камчатского филиала АО "ТК РусГидро"</w:t>
      </w:r>
      <w:bookmarkStart w:id="5" w:name="_Toc142323072"/>
      <w:bookmarkStart w:id="6" w:name="_Toc46743507"/>
      <w:r>
        <w:rPr>
          <w:sz w:val="24"/>
          <w:szCs w:val="24"/>
        </w:rPr>
        <w:t xml:space="preserve"> (далее – Услуги) </w:t>
      </w:r>
    </w:p>
    <w:p>
      <w:pPr>
        <w:pStyle w:val="Heading4"/>
        <w:numPr>
          <w:ilvl w:val="1"/>
          <w:numId w:val="3"/>
        </w:numPr>
        <w:tabs>
          <w:tab w:val="clear" w:pos="708"/>
          <w:tab w:val="left" w:pos="9072" w:leader="none"/>
        </w:tabs>
        <w:spacing w:before="240" w:after="60"/>
        <w:ind w:left="431" w:right="849" w:hanging="431"/>
        <w:rPr/>
      </w:pPr>
      <w:r>
        <w:rPr/>
        <w:t xml:space="preserve">Цель </w:t>
      </w:r>
      <w:bookmarkEnd w:id="6"/>
      <w:r>
        <w:rPr>
          <w:lang w:val="ru-RU"/>
        </w:rPr>
        <w:t>оказания услуг</w:t>
      </w:r>
      <w:bookmarkEnd w:id="5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Fonts w:eastAsia="Calibri"/>
          <w:sz w:val="24"/>
          <w:szCs w:val="24"/>
          <w:lang w:eastAsia="x-none"/>
        </w:rPr>
      </w:pPr>
      <w:bookmarkStart w:id="7" w:name="_Toc46743508"/>
      <w:r>
        <w:rPr>
          <w:rFonts w:eastAsia="Calibri"/>
          <w:sz w:val="24"/>
          <w:szCs w:val="24"/>
          <w:lang w:eastAsia="x-none"/>
        </w:rPr>
        <w:t xml:space="preserve">Целью оказания услуг является обеспечение </w:t>
      </w:r>
      <w:bookmarkEnd w:id="7"/>
      <w:r>
        <w:rPr>
          <w:rFonts w:eastAsia="Calibri"/>
          <w:sz w:val="24"/>
          <w:szCs w:val="24"/>
          <w:lang w:eastAsia="x-none"/>
        </w:rPr>
        <w:t>доступа в сеть Интернет транспортного участка «КТЭЦ» для нужд</w:t>
      </w:r>
      <w:r>
        <w:rPr>
          <w:sz w:val="24"/>
          <w:szCs w:val="24"/>
        </w:rPr>
        <w:t xml:space="preserve"> Камчатского филиала АО "ТК РусГидро"</w:t>
      </w:r>
    </w:p>
    <w:p>
      <w:pPr>
        <w:pStyle w:val="Heading4"/>
        <w:numPr>
          <w:ilvl w:val="1"/>
          <w:numId w:val="3"/>
        </w:numPr>
        <w:rPr/>
      </w:pPr>
      <w:bookmarkStart w:id="8" w:name="_Toc142323073"/>
      <w:r>
        <w:rPr>
          <w:lang w:val="ru-RU"/>
        </w:rPr>
        <w:t>Существующие положения</w:t>
      </w:r>
      <w:bookmarkEnd w:id="8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Fonts w:eastAsia="Calibri"/>
          <w:sz w:val="24"/>
          <w:szCs w:val="24"/>
          <w:lang w:eastAsia="x-none"/>
        </w:rPr>
      </w:pPr>
      <w:r>
        <w:rPr>
          <w:rFonts w:eastAsia="Calibri"/>
          <w:sz w:val="24"/>
          <w:szCs w:val="24"/>
          <w:lang w:eastAsia="x-none"/>
        </w:rPr>
        <w:t>Задача: оказания услуг является обеспечение доступа в сеть Интернет транспортного участка «КТЭЦ» для нужд Камчатского филиала АО "ТК РусГидро"</w:t>
      </w:r>
      <w:bookmarkStart w:id="9" w:name="_Hlk48209761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Style w:val="Style8"/>
          <w:b w:val="false"/>
          <w:iCs/>
          <w:sz w:val="24"/>
          <w:szCs w:val="24"/>
        </w:rPr>
      </w:pPr>
      <w:r>
        <w:rPr>
          <w:b w:val="false"/>
          <w:iCs/>
          <w:sz w:val="24"/>
          <w:szCs w:val="24"/>
        </w:rPr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sz w:val="24"/>
          <w:szCs w:val="24"/>
          <w:lang w:val="ru-RU"/>
        </w:rPr>
      </w:pPr>
      <w:bookmarkStart w:id="10" w:name="_Toc142323074"/>
      <w:bookmarkStart w:id="11" w:name="_Toc51339693"/>
      <w:bookmarkStart w:id="12" w:name="_Toc50125126"/>
      <w:bookmarkEnd w:id="9"/>
      <w:bookmarkEnd w:id="12"/>
      <w:r>
        <w:rPr>
          <w:iCs/>
          <w:sz w:val="24"/>
          <w:szCs w:val="24"/>
          <w:lang w:val="ru-RU"/>
        </w:rPr>
        <w:t>Требования</w:t>
      </w:r>
      <w:r>
        <w:rPr>
          <w:iCs/>
          <w:sz w:val="24"/>
          <w:szCs w:val="24"/>
        </w:rPr>
        <w:t xml:space="preserve"> к продукции</w:t>
      </w:r>
      <w:bookmarkEnd w:id="10"/>
      <w:bookmarkEnd w:id="11"/>
    </w:p>
    <w:p>
      <w:pPr>
        <w:pStyle w:val="Heading4"/>
        <w:numPr>
          <w:ilvl w:val="1"/>
          <w:numId w:val="3"/>
        </w:numPr>
        <w:rPr/>
      </w:pPr>
      <w:bookmarkStart w:id="13" w:name="_Toc142323075"/>
      <w:r>
        <w:rPr/>
        <w:t xml:space="preserve">Требования к объемам и срокам </w:t>
      </w:r>
      <w:r>
        <w:rPr>
          <w:lang w:val="ru-RU"/>
        </w:rPr>
        <w:t>оказания услуг</w:t>
      </w:r>
      <w:bookmarkEnd w:id="13"/>
    </w:p>
    <w:p>
      <w:pPr>
        <w:pStyle w:val="Heading3"/>
        <w:numPr>
          <w:ilvl w:val="2"/>
          <w:numId w:val="3"/>
        </w:numPr>
        <w:rPr/>
      </w:pPr>
      <w:bookmarkStart w:id="14" w:name="_Toc142323076"/>
      <w:r>
        <w:rPr>
          <w:lang w:val="ru-RU"/>
        </w:rPr>
        <w:t>Требования к перечню и объему услуг</w:t>
      </w:r>
      <w:bookmarkEnd w:id="14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15" w:name="_Toc142323077"/>
      <w:bookmarkStart w:id="16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Перечень </w:t>
      </w:r>
      <w:bookmarkEnd w:id="16"/>
      <w:r>
        <w:rPr>
          <w:sz w:val="24"/>
          <w:szCs w:val="24"/>
          <w:lang w:val="ru-RU"/>
        </w:rPr>
        <w:t>и объем оказываемых услуг</w:t>
      </w:r>
      <w:bookmarkEnd w:id="15"/>
    </w:p>
    <w:tbl>
      <w:tblPr>
        <w:tblW w:w="9810" w:type="dxa"/>
        <w:jc w:val="left"/>
        <w:tblInd w:w="2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849"/>
        <w:gridCol w:w="4849"/>
        <w:gridCol w:w="1994"/>
        <w:gridCol w:w="2117"/>
      </w:tblGrid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suppressAutoHyphens w:val="true"/>
              <w:rPr/>
            </w:pPr>
            <w:r>
              <w:rPr/>
            </w:r>
          </w:p>
        </w:tc>
        <w:tc>
          <w:tcPr>
            <w:tcW w:w="4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Интернет транспортного участка «КТЭЦ» для нужд Камчатского филиала АО "ТК РусГидро"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мес.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ind w:firstLine="142"/>
        <w:rPr>
          <w:bCs/>
          <w:i/>
          <w:i/>
          <w:sz w:val="24"/>
          <w:szCs w:val="24"/>
          <w:shd w:fill="FFFF99" w:val="clear"/>
        </w:rPr>
      </w:pPr>
      <w:r>
        <w:rPr>
          <w:bCs/>
          <w:i/>
          <w:sz w:val="24"/>
          <w:szCs w:val="24"/>
          <w:shd w:fill="FFFF99" w:val="clear"/>
        </w:rPr>
      </w:r>
    </w:p>
    <w:p>
      <w:pPr>
        <w:pStyle w:val="Heading3"/>
        <w:numPr>
          <w:ilvl w:val="2"/>
          <w:numId w:val="3"/>
        </w:numPr>
        <w:rPr>
          <w:lang w:val="ru-RU"/>
        </w:rPr>
      </w:pPr>
      <w:bookmarkStart w:id="17" w:name="_Toc142323078"/>
      <w:bookmarkStart w:id="18" w:name="_Toc51339696"/>
      <w:r>
        <w:rPr>
          <w:lang w:val="ru-RU"/>
        </w:rPr>
        <w:t xml:space="preserve">Требования </w:t>
      </w:r>
      <w:bookmarkEnd w:id="18"/>
      <w:r>
        <w:rPr>
          <w:lang w:val="ru-RU"/>
        </w:rPr>
        <w:t>к срокам оказания услуг</w:t>
      </w:r>
      <w:bookmarkEnd w:id="17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19" w:name="_Toc142323079"/>
      <w:bookmarkStart w:id="20" w:name="_Toc51339697"/>
      <w:bookmarkStart w:id="21" w:name="_Toc50125127"/>
      <w:bookmarkStart w:id="22" w:name="_Toc50125126_Копия_1"/>
      <w:bookmarkEnd w:id="22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</w:t>
      </w:r>
      <w:bookmarkStart w:id="23" w:name="_Hlk50465284"/>
      <w:r>
        <w:rPr>
          <w:sz w:val="24"/>
          <w:szCs w:val="24"/>
        </w:rPr>
        <w:t xml:space="preserve">Требования </w:t>
      </w:r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</w:t>
      </w:r>
      <w:bookmarkEnd w:id="20"/>
      <w:bookmarkEnd w:id="21"/>
      <w:bookmarkEnd w:id="23"/>
      <w:r>
        <w:rPr>
          <w:sz w:val="24"/>
          <w:szCs w:val="24"/>
          <w:lang w:val="ru-RU"/>
        </w:rPr>
        <w:t>оказания услуг</w:t>
      </w:r>
      <w:bookmarkEnd w:id="19"/>
    </w:p>
    <w:tbl>
      <w:tblPr>
        <w:tblW w:w="9776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62"/>
        <w:gridCol w:w="3828"/>
        <w:gridCol w:w="2268"/>
        <w:gridCol w:w="3117"/>
      </w:tblGrid>
      <w:tr>
        <w:trPr/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услуг/ этапа услуг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услуг/ этапа услуг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оказания услуг / этапа услуг</w:t>
            </w:r>
          </w:p>
        </w:tc>
      </w:tr>
      <w:tr>
        <w:trPr/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563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8"/>
              </w:numPr>
              <w:suppressAutoHyphens w:val="true"/>
              <w:rPr/>
            </w:pPr>
            <w:r>
              <w:rPr/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Интернет транспортного участка «КТЭЦ» для нужд Камчатского филиала АО "ТК РусГидро"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01.01.2027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31.12.2027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rPr/>
      </w:pPr>
      <w:bookmarkStart w:id="24" w:name="_Toc51339698"/>
      <w:bookmarkStart w:id="25" w:name="_Toc142323080"/>
      <w:bookmarkStart w:id="26" w:name="_Toc46743511"/>
      <w:r>
        <w:rPr/>
        <w:t xml:space="preserve">Требования к </w:t>
      </w:r>
      <w:bookmarkEnd w:id="26"/>
      <w:r>
        <w:rPr>
          <w:lang w:val="ru-RU"/>
        </w:rPr>
        <w:t>качеству услуг</w:t>
      </w:r>
      <w:bookmarkEnd w:id="25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rStyle w:val="Style8"/>
          <w:b/>
          <w:i w:val="false"/>
          <w:i w:val="false"/>
          <w:sz w:val="24"/>
          <w:szCs w:val="24"/>
          <w:shd w:fill="auto" w:val="clear"/>
        </w:rPr>
      </w:pPr>
      <w:bookmarkStart w:id="27" w:name="_Toc142323081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. Требования к </w:t>
      </w:r>
      <w:bookmarkEnd w:id="24"/>
      <w:r>
        <w:rPr>
          <w:sz w:val="24"/>
          <w:szCs w:val="24"/>
          <w:lang w:val="ru-RU"/>
        </w:rPr>
        <w:t>качеству услуг</w:t>
      </w:r>
      <w:bookmarkEnd w:id="27"/>
      <w:r>
        <w:rPr>
          <w:sz w:val="24"/>
          <w:szCs w:val="24"/>
        </w:rPr>
        <w:t xml:space="preserve"> </w:t>
      </w:r>
    </w:p>
    <w:p>
      <w:pPr>
        <w:pStyle w:val="Normal"/>
        <w:rPr>
          <w:rStyle w:val="Style8"/>
          <w:b w:val="false"/>
          <w:sz w:val="24"/>
          <w:szCs w:val="24"/>
        </w:rPr>
      </w:pPr>
      <w:r>
        <w:rPr>
          <w:rStyle w:val="Style8"/>
          <w:b w:val="false"/>
          <w:sz w:val="24"/>
          <w:szCs w:val="24"/>
        </w:rPr>
        <w:t xml:space="preserve"> </w:t>
      </w:r>
    </w:p>
    <w:p>
      <w:pPr>
        <w:pStyle w:val="Normal"/>
        <w:rPr>
          <w:i/>
          <w:i/>
          <w:iCs/>
          <w:sz w:val="24"/>
          <w:szCs w:val="24"/>
          <w:shd w:fill="FFFF99" w:val="clear"/>
        </w:rPr>
      </w:pPr>
      <w:r>
        <w:rPr>
          <w:b/>
          <w:bCs/>
          <w:sz w:val="24"/>
          <w:szCs w:val="24"/>
        </w:rPr>
        <w:t>Наименование услуг/этапа услуг (позиция №1 Таблицы 2): Услуги Интернет транспортного участка «КТЭЦ» для нужд Камчатского филиала АО "ТК РусГидро"</w:t>
      </w:r>
      <w:r>
        <w:rPr>
          <w:b/>
          <w:bCs/>
          <w:i w:val="false"/>
          <w:iCs w:val="false"/>
          <w:sz w:val="24"/>
          <w:szCs w:val="24"/>
          <w:shd w:fill="auto" w:val="clear"/>
        </w:rPr>
        <w:t xml:space="preserve"> (далее – Услуги) </w:t>
      </w:r>
    </w:p>
    <w:tbl>
      <w:tblPr>
        <w:tblStyle w:val="af"/>
        <w:tblW w:w="1488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24"/>
        <w:gridCol w:w="2508"/>
        <w:gridCol w:w="3378"/>
        <w:gridCol w:w="2618"/>
        <w:gridCol w:w="2865"/>
        <w:gridCol w:w="2691"/>
      </w:tblGrid>
      <w:tr>
        <w:trPr/>
        <w:tc>
          <w:tcPr>
            <w:tcW w:w="82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508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3378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548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69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82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0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378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61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8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69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bookmarkStart w:id="28" w:name="_Toc53499667"/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</w:t>
            </w:r>
            <w:bookmarkEnd w:id="28"/>
          </w:p>
        </w:tc>
        <w:tc>
          <w:tcPr>
            <w:tcW w:w="250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37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61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8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269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58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оказанию услуг</w:t>
            </w:r>
          </w:p>
        </w:tc>
        <w:tc>
          <w:tcPr>
            <w:tcW w:w="2618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65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58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Общие требования к оказанию услуг</w:t>
            </w:r>
          </w:p>
        </w:tc>
        <w:tc>
          <w:tcPr>
            <w:tcW w:w="2618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65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времени оказания услуг</w:t>
            </w:r>
          </w:p>
        </w:tc>
        <w:tc>
          <w:tcPr>
            <w:tcW w:w="337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обеспечивает предоставление услуг 24 часа в сутки, ежедневно, без перерывов, а исключением периода проведения плановых профилактических и ремонтных работ. Исполнитель устраняет неисправности, препят- ствующие пользованию телематическими услугами связи в сроки, согласованные сторонами, с учетом технических возможностей, но не более контрольных сроков устранения повреждений, определенных нормативными актами «Минкомсвязи» РФ</w:t>
            </w:r>
          </w:p>
        </w:tc>
        <w:tc>
          <w:tcPr>
            <w:tcW w:w="2618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65" w:type="dxa"/>
            <w:tcBorders/>
            <w:shd w:color="auto" w:fill="auto" w:val="clea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9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24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скорости канала доступа к сети ИНтернет</w:t>
            </w:r>
          </w:p>
        </w:tc>
        <w:tc>
          <w:tcPr>
            <w:tcW w:w="337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Скорость канала доступа в сеть Интернет должна составлять   не менее 5 Мбит/с. до конечного коммутатора исполнителя.</w:t>
            </w:r>
          </w:p>
        </w:tc>
        <w:tc>
          <w:tcPr>
            <w:tcW w:w="2618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2865" w:type="dxa"/>
            <w:tcBorders>
              <w:top w:val="nil"/>
            </w:tcBorders>
            <w:shd w:color="auto" w:fill="auto" w:val="clea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91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24" w:type="dxa"/>
            <w:tcBorders>
              <w:top w:val="nil"/>
            </w:tcBorders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IP адресу точки подключения доступа к сети Интернет.</w:t>
            </w:r>
          </w:p>
        </w:tc>
        <w:tc>
          <w:tcPr>
            <w:tcW w:w="3378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Исполнитель предоставляет  статический IP адрес для точки подключения доступа к сети Интернет.</w:t>
            </w:r>
          </w:p>
        </w:tc>
        <w:tc>
          <w:tcPr>
            <w:tcW w:w="2618" w:type="dxa"/>
            <w:tcBorders>
              <w:top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65" w:type="dxa"/>
            <w:tcBorders>
              <w:top w:val="nil"/>
            </w:tcBorders>
            <w:shd w:color="auto" w:fill="auto" w:val="clear"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91" w:type="dxa"/>
            <w:tcBorders>
              <w:top w:val="nil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5886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способам оказания услуг</w:t>
            </w:r>
          </w:p>
        </w:tc>
        <w:tc>
          <w:tcPr>
            <w:tcW w:w="2618" w:type="dxa"/>
            <w:tcBorders/>
            <w:shd w:color="auto" w:fill="auto" w:val="clear"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65" w:type="dxa"/>
            <w:tcBorders/>
            <w:shd w:color="auto" w:fill="auto" w:val="clear"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691" w:type="dxa"/>
            <w:tcBorders/>
            <w:shd w:color="auto" w:fill="auto" w:val="clear"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оказанию услуг</w:t>
            </w:r>
          </w:p>
        </w:tc>
        <w:tc>
          <w:tcPr>
            <w:tcW w:w="3378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Абонент подключается к сети Ethernet посредством ВОЛС от пограничного коммутатора до оконечного оборудования Абонента.  филиала АО "ТК РусГидро".</w:t>
            </w:r>
          </w:p>
        </w:tc>
        <w:tc>
          <w:tcPr>
            <w:tcW w:w="2618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65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91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58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безопасности использования результата оказания услуг</w:t>
            </w:r>
          </w:p>
        </w:tc>
        <w:tc>
          <w:tcPr>
            <w:tcW w:w="2618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65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использованию персональных данных</w:t>
            </w:r>
          </w:p>
        </w:tc>
        <w:tc>
          <w:tcPr>
            <w:tcW w:w="33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Абонент  обязуются обеспечивать конфиденциальность учетной информации Абонента.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Использование персональных данных, полученных в рамках оказания услуг, должно осуществляться в соответствии с требованиями ФЗ №152-ФЗ «О персональных данных»</w:t>
            </w:r>
          </w:p>
        </w:tc>
        <w:tc>
          <w:tcPr>
            <w:tcW w:w="261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69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58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2618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65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отчетной документации</w:t>
            </w:r>
          </w:p>
        </w:tc>
        <w:tc>
          <w:tcPr>
            <w:tcW w:w="337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предоставляет Заказчику следующую отчетную документацию:</w:t>
            </w:r>
          </w:p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Счёт;</w:t>
            </w:r>
          </w:p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true"/>
              <w:spacing w:before="0" w:after="0"/>
              <w:contextualSpacing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Акт и Счет-Фактуру или УПД.</w:t>
            </w:r>
          </w:p>
        </w:tc>
        <w:tc>
          <w:tcPr>
            <w:tcW w:w="261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65" w:type="dxa"/>
            <w:tcBorders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91" w:type="dxa"/>
            <w:tcBorders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ascii="Times New Roman" w:hAnsi="Times New Roman" w:eastAsia="Times New Roman" w:cs="Times New Roman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58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20" w:after="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ответственности и гарантиям исполнителя</w:t>
            </w:r>
          </w:p>
        </w:tc>
        <w:tc>
          <w:tcPr>
            <w:tcW w:w="2618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65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гарантии качества услуг</w:t>
            </w:r>
          </w:p>
        </w:tc>
        <w:tc>
          <w:tcPr>
            <w:tcW w:w="33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   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обеспечивает передачу информации на своем участке сети, как в адрес, так и от Абонента, обеспечивая лишь возможность доступа к узлам, имеющим активные соединения в сети Интернет на момент запроса.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   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не несет ответственности за качество линий связи, если их предоставляют другие организации.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   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Исполнитель обеспечивает гарантированный доступ к услугам, лежащим в сфере его контроля только по коммуникациям в пределах своей сети.</w:t>
            </w:r>
          </w:p>
        </w:tc>
        <w:tc>
          <w:tcPr>
            <w:tcW w:w="261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86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4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691" w:type="dxa"/>
            <w:tcBorders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bCs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bCs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left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58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618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65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691" w:type="dxa"/>
            <w:tcBorders/>
          </w:tcPr>
          <w:p>
            <w:pPr>
              <w:pStyle w:val="Normal"/>
              <w:keepNext w:val="true"/>
              <w:widowControl w:val="false"/>
              <w:suppressAutoHyphens w:val="tru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</w:tr>
      <w:tr>
        <w:trPr/>
        <w:tc>
          <w:tcPr>
            <w:tcW w:w="824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uppressAutoHyphens w:val="true"/>
              <w:spacing w:before="4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Место оказания услуг</w:t>
            </w:r>
          </w:p>
        </w:tc>
        <w:tc>
          <w:tcPr>
            <w:tcW w:w="337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683032, Камчатский край, г. Петропавловск-Камчатский, ул. Степная 50.</w:t>
            </w:r>
          </w:p>
        </w:tc>
        <w:tc>
          <w:tcPr>
            <w:tcW w:w="26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/>
            </w:pPr>
            <w:r>
              <w:rPr>
                <w:b/>
                <w:bCs/>
                <w:sz w:val="24"/>
                <w:szCs w:val="24"/>
              </w:rPr>
              <w:t>Согласие с требованием</w:t>
            </w:r>
          </w:p>
        </w:tc>
        <w:tc>
          <w:tcPr>
            <w:tcW w:w="286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691" w:type="dxa"/>
            <w:tcBorders/>
          </w:tcPr>
          <w:p>
            <w:pPr>
              <w:pStyle w:val="Style27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sz w:val="24"/>
          <w:szCs w:val="24"/>
          <w:lang w:val="ru-RU"/>
        </w:rPr>
      </w:pPr>
      <w:bookmarkStart w:id="29" w:name="_Toc142323083"/>
      <w:bookmarkStart w:id="30" w:name="_Toc53395937"/>
      <w:bookmarkStart w:id="31" w:name="_Toc53393312"/>
      <w:bookmarkStart w:id="32" w:name="_Toc51339699"/>
      <w:bookmarkStart w:id="33" w:name="_Toc46743519"/>
      <w:bookmarkEnd w:id="32"/>
      <w:bookmarkEnd w:id="33"/>
      <w:r>
        <w:rPr>
          <w:sz w:val="24"/>
          <w:szCs w:val="24"/>
          <w:lang w:val="ru-RU"/>
        </w:rPr>
        <w:t>Требования к документации по ценообразованию</w:t>
      </w:r>
      <w:bookmarkEnd w:id="30"/>
      <w:bookmarkEnd w:id="31"/>
      <w:r>
        <w:rPr>
          <w:sz w:val="24"/>
          <w:szCs w:val="24"/>
          <w:lang w:val="ru-RU"/>
        </w:rPr>
        <w:t xml:space="preserve"> на этапе закупки</w:t>
      </w:r>
      <w:bookmarkEnd w:id="29"/>
    </w:p>
    <w:p>
      <w:pPr>
        <w:pStyle w:val="Heading4"/>
        <w:numPr>
          <w:ilvl w:val="1"/>
          <w:numId w:val="3"/>
        </w:numPr>
        <w:ind w:firstLine="277"/>
        <w:jc w:val="both"/>
        <w:rPr>
          <w:b w:val="false"/>
          <w:lang w:val="ru-RU"/>
        </w:rPr>
      </w:pPr>
      <w:bookmarkStart w:id="34" w:name="_Toc142323084"/>
      <w:r>
        <w:rPr>
          <w:b w:val="false"/>
          <w:lang w:val="ru-RU"/>
        </w:rPr>
        <w:t xml:space="preserve">В обоснование стоимости своей заявки Участник предоставляет Коммерческое предложение. </w:t>
      </w:r>
      <w:bookmarkEnd w:id="34"/>
    </w:p>
    <w:p>
      <w:pPr>
        <w:pStyle w:val="Heading4"/>
        <w:numPr>
          <w:ilvl w:val="1"/>
          <w:numId w:val="3"/>
        </w:numPr>
        <w:ind w:firstLine="277"/>
        <w:jc w:val="both"/>
        <w:rPr>
          <w:b w:val="false"/>
          <w:lang w:val="ru-RU"/>
        </w:rPr>
      </w:pPr>
      <w:bookmarkStart w:id="35" w:name="_Toc142323085"/>
      <w:r>
        <w:rPr>
          <w:b w:val="false"/>
          <w:lang w:val="ru-RU"/>
        </w:rPr>
        <w:t>Стоимость за единицу продукции (услуги) должна включать в себя налоги, сборы, пошлины и другие обязательные платежи, стоимость расходных материалов, используемых при оказании услуг, расходы на содержание, эксплуатацию и прочие расходы, связанные с оказанием услуг.</w:t>
      </w:r>
      <w:bookmarkEnd w:id="35"/>
    </w:p>
    <w:p>
      <w:pPr>
        <w:pStyle w:val="Heading4"/>
        <w:numPr>
          <w:ilvl w:val="1"/>
          <w:numId w:val="3"/>
        </w:numPr>
        <w:ind w:firstLine="277"/>
        <w:jc w:val="both"/>
        <w:rPr>
          <w:b w:val="false"/>
          <w:lang w:val="ru-RU"/>
        </w:rPr>
      </w:pPr>
      <w:bookmarkStart w:id="36" w:name="_Toc142323086"/>
      <w:r>
        <w:rPr>
          <w:b w:val="false"/>
          <w:lang w:val="ru-RU"/>
        </w:rPr>
        <w:t>Дополнительные документы по ценообразованию в состав заявки Участника не включаются.</w:t>
      </w:r>
      <w:bookmarkEnd w:id="36"/>
    </w:p>
    <w:p>
      <w:pPr>
        <w:pStyle w:val="Normal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</w:r>
    </w:p>
    <w:p>
      <w:pPr>
        <w:pStyle w:val="Normal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</w:r>
    </w:p>
    <w:p>
      <w:pPr>
        <w:pStyle w:val="Heading1"/>
        <w:keepLines/>
        <w:numPr>
          <w:ilvl w:val="0"/>
          <w:numId w:val="3"/>
        </w:numPr>
        <w:ind w:left="357" w:firstLine="352"/>
        <w:jc w:val="center"/>
        <w:rPr>
          <w:b w:val="false"/>
          <w:sz w:val="24"/>
          <w:szCs w:val="24"/>
          <w:lang w:val="ru-RU"/>
        </w:rPr>
      </w:pPr>
      <w:bookmarkStart w:id="37" w:name="_Toc142323087"/>
      <w:bookmarkStart w:id="38" w:name="_Toc54281228"/>
      <w:r>
        <w:rPr>
          <w:sz w:val="24"/>
          <w:szCs w:val="24"/>
          <w:lang w:val="ru-RU"/>
        </w:rPr>
        <w:t>Требования к документации по ценообразованию на этапе заключения (исполнения) договора</w:t>
      </w:r>
      <w:bookmarkEnd w:id="37"/>
      <w:bookmarkEnd w:id="38"/>
    </w:p>
    <w:p>
      <w:pPr>
        <w:pStyle w:val="Heading4"/>
        <w:numPr>
          <w:ilvl w:val="1"/>
          <w:numId w:val="3"/>
        </w:numPr>
        <w:spacing w:before="120" w:after="60"/>
        <w:ind w:firstLine="352"/>
        <w:jc w:val="both"/>
        <w:rPr>
          <w:b w:val="false"/>
          <w:lang w:val="ru-RU"/>
        </w:rPr>
      </w:pPr>
      <w:bookmarkStart w:id="39" w:name="_Toc142323088"/>
      <w:r>
        <w:rPr>
          <w:b w:val="false"/>
          <w:lang w:val="ru-RU"/>
        </w:rPr>
        <w:t>По результатам настоящей закупки заключается договор с предельной ценой, равной начальной (максимальной) цене договора, установленной в Документации о закупке</w:t>
      </w:r>
      <w:bookmarkEnd w:id="39"/>
      <w:r>
        <w:rPr>
          <w:b w:val="false"/>
          <w:lang w:val="ru-RU"/>
        </w:rPr>
        <w:t>.</w:t>
      </w:r>
    </w:p>
    <w:sectPr>
      <w:headerReference w:type="default" r:id="rId7"/>
      <w:headerReference w:type="first" r:id="rId8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8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semiHidden/>
    <w:qFormat/>
    <w:rsid w:val="00b714b0"/>
    <w:rPr>
      <w:sz w:val="16"/>
      <w:szCs w:val="16"/>
    </w:rPr>
  </w:style>
  <w:style w:type="character" w:styleId="Strong">
    <w:name w:val="Strong"/>
    <w:uiPriority w:val="22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4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5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8"/>
    <w:qFormat/>
    <w:rsid w:val="004a17ae"/>
    <w:rPr>
      <w:rFonts w:eastAsia="Calibri"/>
      <w:caps/>
      <w:sz w:val="28"/>
      <w:szCs w:val="28"/>
      <w:lang w:eastAsia="en-US"/>
    </w:rPr>
  </w:style>
  <w:style w:type="character" w:styleId="Style14">
    <w:name w:val="Ссылка указателя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rsid w:val="00d561d9"/>
    <w:pPr/>
    <w:rPr>
      <w:sz w:val="20"/>
      <w:szCs w:val="20"/>
    </w:rPr>
  </w:style>
  <w:style w:type="paragraph" w:styleId="13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2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4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uiPriority w:val="99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uppressAutoHyphens w:val="true"/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c517de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6b6b70"/>
    <w:pPr>
      <w:ind w:left="280" w:hanging="0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693883"/>
    <w:pPr>
      <w:spacing w:before="240" w:after="0"/>
    </w:pPr>
    <w:rPr>
      <w:rFonts w:cs="Calibri" w:cstheme="minorHAnsi"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5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6b6b70"/>
    <w:pPr>
      <w:tabs>
        <w:tab w:val="clear" w:pos="708"/>
        <w:tab w:val="left" w:pos="1120" w:leader="none"/>
        <w:tab w:val="right" w:pos="9911" w:leader="none"/>
      </w:tabs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">
    <w:name w:val="caption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3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ListBullet4" w:customStyle="1">
    <w:name w:val="List Bullet 4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4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6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5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7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567" w:leader="none"/>
      </w:tabs>
      <w:suppressAutoHyphens w:val="true"/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uppressAutoHyphens w:val="true"/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8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3">
    <w:name w:val="Содержимое врезки"/>
    <w:basedOn w:val="Normal"/>
    <w:qFormat/>
    <w:pPr/>
    <w:rPr/>
  </w:style>
  <w:style w:type="paragraph" w:styleId="Style34">
    <w:name w:val="Содержимое таблицы"/>
    <w:basedOn w:val="Normal"/>
    <w:qFormat/>
    <w:pPr>
      <w:widowControl w:val="false"/>
      <w:suppressLineNumbers/>
    </w:pPr>
    <w:rPr/>
  </w:style>
  <w:style w:type="paragraph" w:styleId="Style35">
    <w:name w:val="Заголовок таблицы"/>
    <w:basedOn w:val="Style3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c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93620-6B97-40B5-BF58-438445F93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Application>AlterOffice/2025.3.1.0$Linux_X86_64 LibreOffice_project/431cd1b79110582f53535c95ed0a2449aadc8bf9</Application>
  <AppVersion>15.0000</AppVersion>
  <Pages>8</Pages>
  <Words>867</Words>
  <Characters>5606</Characters>
  <CharactersWithSpaces>6322</CharactersWithSpaces>
  <Paragraphs>162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2021-04-04T11:05:00Z</dcterms:created>
  <dc:creator>Быстров Олег Геннадьевич</dc:creator>
  <dc:description/>
  <dc:language>ru-RU</dc:language>
  <cp:lastModifiedBy>tratsevskijit@corp.gidroogk.com</cp:lastModifiedBy>
  <cp:lastPrinted>2023-12-11T04:55:00Z</cp:lastPrinted>
  <dcterms:modified xsi:type="dcterms:W3CDTF">2026-05-27T11:16:39Z</dcterms:modified>
  <cp:revision>49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