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5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numbering.xml" ContentType="application/vnd.openxmlformats-officedocument.wordprocessingml.numbering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6.xml" ContentType="application/vnd.openxmlformats-officedocument.wordprocessingml.head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2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Технические требования на </w:t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ОКПД2 - 71.20.12.000. Оказание услуг по техническому освидетельствованию (диагностированию) градирни </w:t>
      </w:r>
      <w:r>
        <w:rPr>
          <w:rFonts w:eastAsia="Calibri"/>
          <w:b/>
          <w:sz w:val="24"/>
          <w:szCs w:val="24"/>
        </w:rPr>
        <w:t xml:space="preserve">ДЭС </w:t>
      </w:r>
      <w:r>
        <w:rPr>
          <w:rFonts w:eastAsia="Calibri"/>
          <w:b/>
          <w:sz w:val="24"/>
          <w:szCs w:val="24"/>
        </w:rPr>
        <w:t xml:space="preserve">пгт. Батагай, Верхоянских ЭС</w:t>
      </w:r>
      <w:r>
        <w:rPr>
          <w:b/>
          <w:bCs/>
          <w:i w:val="0"/>
          <w:strike w:val="0"/>
          <w:sz w:val="25"/>
          <w:u w:val="none"/>
        </w:rPr>
        <w:t xml:space="preserve"> АО «Сахаэнерго»</w:t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pStyle w:val="902"/>
        <w:pBdr/>
        <w:spacing/>
        <w:ind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СОДЕРЖАНИЕ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98"/>
        <w:pBdr/>
        <w:tabs>
          <w:tab w:val="left" w:leader="none" w:pos="560"/>
          <w:tab w:val="clear" w:leader="none" w:pos="708"/>
          <w:tab w:val="right" w:leader="dot" w:pos="9911"/>
        </w:tabs>
        <w:spacing/>
        <w:ind/>
        <w:rPr>
          <w:rFonts w:ascii="Calibri" w:hAnsi="Calibri" w:eastAsia="Arial" w:cs="Arial" w:asciiTheme="minorHAnsi" w:hAnsiTheme="minorHAnsi" w:eastAsiaTheme="minorEastAsia" w:cstheme="minorBidi"/>
          <w:b w:val="0"/>
          <w:bCs w:val="0"/>
        </w:rPr>
      </w:pPr>
      <w:r>
        <w:rPr>
          <w:rFonts w:ascii="Calibri" w:hAnsi="Calibri" w:eastAsia="Arial" w:cs="Arial" w:eastAsiaTheme="minorEastAsia" w:cstheme="minorBidi"/>
          <w:b w:val="0"/>
          <w:bCs w:val="0"/>
        </w:rPr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</w:rPr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</w:rPr>
      </w:r>
    </w:p>
    <w:p>
      <w:pPr>
        <w:pStyle w:val="998"/>
        <w:pBdr/>
        <w:tabs>
          <w:tab w:val="left" w:leader="none" w:pos="560"/>
          <w:tab w:val="clear" w:leader="none" w:pos="708"/>
          <w:tab w:val="right" w:leader="dot" w:pos="9911"/>
        </w:tabs>
        <w:spacing/>
        <w:ind/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pPr>
      <w:r>
        <w:rPr>
          <w:color w:val="000000"/>
          <w:sz w:val="24"/>
          <w:szCs w:val="24"/>
        </w:rPr>
        <w:t xml:space="preserve">1.</w:t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  <w:tab/>
      </w:r>
      <w:r>
        <w:rPr>
          <w:sz w:val="24"/>
          <w:szCs w:val="24"/>
        </w:rPr>
        <w:t xml:space="preserve">Общие сведения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_Toc142564678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r>
    </w:p>
    <w:p>
      <w:pPr>
        <w:pStyle w:val="1008"/>
        <w:pBdr/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pPr>
      <w:r>
        <w:rPr>
          <w:iCs/>
          <w:sz w:val="24"/>
          <w:szCs w:val="24"/>
        </w:rPr>
        <w:t xml:space="preserve">1.1.</w:t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  <w:tab/>
      </w:r>
      <w:r>
        <w:rPr>
          <w:sz w:val="24"/>
          <w:szCs w:val="24"/>
        </w:rPr>
        <w:t xml:space="preserve">Обозначения и сокращения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_Toc142564679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</w:p>
    <w:p>
      <w:pPr>
        <w:pStyle w:val="1008"/>
        <w:pBdr/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pPr>
      <w:r>
        <w:rPr>
          <w:iCs/>
          <w:sz w:val="24"/>
          <w:szCs w:val="24"/>
        </w:rPr>
        <w:t xml:space="preserve">1.2.</w:t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  <w:tab/>
      </w:r>
      <w:r>
        <w:rPr>
          <w:sz w:val="24"/>
          <w:szCs w:val="24"/>
        </w:rPr>
        <w:t xml:space="preserve">Наименование закупаемой продукции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_Toc142564680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</w:p>
    <w:p>
      <w:pPr>
        <w:pStyle w:val="1008"/>
        <w:pBdr/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pPr>
      <w:r>
        <w:rPr>
          <w:iCs/>
          <w:sz w:val="24"/>
          <w:szCs w:val="24"/>
        </w:rPr>
        <w:t xml:space="preserve">1.3.</w:t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  <w:tab/>
      </w:r>
      <w:r>
        <w:rPr>
          <w:sz w:val="24"/>
          <w:szCs w:val="24"/>
        </w:rPr>
        <w:t xml:space="preserve">Цель оказания услуг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_Toc142564681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</w:p>
    <w:p>
      <w:pPr>
        <w:pStyle w:val="998"/>
        <w:pBdr/>
        <w:tabs>
          <w:tab w:val="clear" w:leader="none" w:pos="708"/>
          <w:tab w:val="right" w:leader="dot" w:pos="9911"/>
        </w:tabs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pPr>
      <w:r>
        <w:rPr>
          <w:sz w:val="24"/>
          <w:szCs w:val="24"/>
        </w:rPr>
        <w:t xml:space="preserve">Таблица 1. Перечень объектов заказчика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_Toc142564682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r>
    </w:p>
    <w:p>
      <w:pPr>
        <w:pStyle w:val="1008"/>
        <w:pBdr/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pPr>
      <w:r>
        <w:rPr>
          <w:iCs/>
          <w:sz w:val="24"/>
          <w:szCs w:val="24"/>
        </w:rPr>
        <w:t xml:space="preserve">1.4.</w:t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  <w:tab/>
      </w:r>
      <w:r>
        <w:rPr>
          <w:sz w:val="24"/>
          <w:szCs w:val="24"/>
        </w:rPr>
        <w:t xml:space="preserve">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 этапе исполнения договора):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_Toc142564683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</w:p>
    <w:p>
      <w:pPr>
        <w:pStyle w:val="998"/>
        <w:pBdr/>
        <w:tabs>
          <w:tab w:val="left" w:leader="none" w:pos="560"/>
          <w:tab w:val="clear" w:leader="none" w:pos="708"/>
          <w:tab w:val="right" w:leader="dot" w:pos="9911"/>
        </w:tabs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pPr>
      <w:r>
        <w:rPr>
          <w:color w:val="000000"/>
          <w:sz w:val="24"/>
          <w:szCs w:val="24"/>
        </w:rPr>
        <w:t xml:space="preserve">2.</w:t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  <w:tab/>
      </w:r>
      <w:r>
        <w:rPr>
          <w:iCs/>
          <w:sz w:val="24"/>
          <w:szCs w:val="24"/>
        </w:rPr>
        <w:t xml:space="preserve">Требования к продукции</w:t>
      </w:r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_Toc142564684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r>
    </w:p>
    <w:p>
      <w:pPr>
        <w:pStyle w:val="1008"/>
        <w:pBdr/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pPr>
      <w:r>
        <w:rPr>
          <w:iCs/>
          <w:sz w:val="24"/>
          <w:szCs w:val="24"/>
        </w:rPr>
        <w:t xml:space="preserve">2.1.</w:t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  <w:tab/>
      </w:r>
      <w:r>
        <w:rPr>
          <w:sz w:val="24"/>
          <w:szCs w:val="24"/>
        </w:rPr>
        <w:t xml:space="preserve">Требования к объемам и срокам оказания услуг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_Toc142564685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</w:p>
    <w:p>
      <w:pPr>
        <w:pStyle w:val="999"/>
        <w:pBdr/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pPr>
      <w:r>
        <w:rPr>
          <w:sz w:val="24"/>
          <w:szCs w:val="24"/>
        </w:rPr>
        <w:t xml:space="preserve">2.1.1.</w:t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  <w:tab/>
      </w:r>
      <w:r>
        <w:rPr>
          <w:sz w:val="24"/>
          <w:szCs w:val="24"/>
        </w:rPr>
        <w:t xml:space="preserve">Требования к перечню и объему услуг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_Toc142564686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</w:p>
    <w:p>
      <w:pPr>
        <w:pStyle w:val="998"/>
        <w:pBdr/>
        <w:tabs>
          <w:tab w:val="clear" w:leader="none" w:pos="708"/>
          <w:tab w:val="right" w:leader="dot" w:pos="9911"/>
        </w:tabs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pPr>
      <w:r>
        <w:rPr>
          <w:sz w:val="24"/>
          <w:szCs w:val="24"/>
        </w:rPr>
        <w:t xml:space="preserve">Таблица 2. Перечень и объем оказываемых услуг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_Toc142564687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r>
    </w:p>
    <w:p>
      <w:pPr>
        <w:pStyle w:val="999"/>
        <w:pBdr/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pPr>
      <w:r>
        <w:rPr>
          <w:sz w:val="24"/>
          <w:szCs w:val="24"/>
        </w:rPr>
        <w:t xml:space="preserve">2.1.2.</w:t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  <w:tab/>
      </w:r>
      <w:r>
        <w:rPr>
          <w:sz w:val="24"/>
          <w:szCs w:val="24"/>
        </w:rPr>
        <w:t xml:space="preserve">Требования к срокам оказания услуг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_Toc142564688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</w:p>
    <w:p>
      <w:pPr>
        <w:pStyle w:val="998"/>
        <w:pBdr/>
        <w:tabs>
          <w:tab w:val="clear" w:leader="none" w:pos="708"/>
          <w:tab w:val="right" w:leader="dot" w:pos="9911"/>
        </w:tabs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pPr>
      <w:r>
        <w:rPr>
          <w:sz w:val="24"/>
          <w:szCs w:val="24"/>
        </w:rPr>
        <w:t xml:space="preserve">Таблица 3. Требования к срокам оказания услуг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_Toc142564689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b w:val="0"/>
          <w:bCs w:val="0"/>
          <w:sz w:val="24"/>
          <w:szCs w:val="24"/>
        </w:rPr>
      </w:r>
    </w:p>
    <w:p>
      <w:pPr>
        <w:pStyle w:val="1008"/>
        <w:pBdr/>
        <w:spacing/>
        <w:ind/>
        <w:jc w:val="center"/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pPr>
      <w:r>
        <w:rPr>
          <w:iCs/>
          <w:sz w:val="24"/>
          <w:szCs w:val="24"/>
        </w:rPr>
        <w:t xml:space="preserve">2.2.</w:t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  <w:tab/>
      </w:r>
      <w:r>
        <w:rPr>
          <w:sz w:val="24"/>
          <w:szCs w:val="24"/>
        </w:rPr>
        <w:t xml:space="preserve">Требования к качеству услуг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_Toc142564690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fldChar w:fldCharType="end"/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  <w:r>
        <w:rPr>
          <w:rFonts w:ascii="Calibri" w:hAnsi="Calibri" w:eastAsia="Arial" w:cs="Arial" w:asciiTheme="minorHAnsi" w:hAnsiTheme="minorHAnsi" w:eastAsiaTheme="minorEastAsia" w:cstheme="minorBidi"/>
          <w:sz w:val="24"/>
          <w:szCs w:val="24"/>
        </w:rPr>
      </w:r>
    </w:p>
    <w:p>
      <w:pPr>
        <w:pStyle w:val="998"/>
        <w:pBdr/>
        <w:tabs>
          <w:tab w:val="clear" w:leader="none" w:pos="708"/>
          <w:tab w:val="right" w:leader="dot" w:pos="9911"/>
        </w:tabs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Таблица 4. Требования к качеству услуг</w:t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_Toc142564691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pBdr/>
        <w:spacing/>
        <w:ind/>
        <w:rPr>
          <w:rFonts w:eastAsia="Arial" w:eastAsiaTheme="minorEastAsia"/>
          <w:b/>
          <w:sz w:val="24"/>
          <w:szCs w:val="24"/>
        </w:rPr>
      </w:pPr>
      <w:r>
        <w:rPr>
          <w:b/>
          <w:sz w:val="24"/>
          <w:szCs w:val="24"/>
        </w:rPr>
        <w:t xml:space="preserve">3.      Приложение………………………………………………………………………………...…..17</w:t>
      </w:r>
      <w:r>
        <w:rPr>
          <w:rFonts w:eastAsia="Arial" w:eastAsiaTheme="minorEastAsia"/>
          <w:b/>
          <w:sz w:val="24"/>
          <w:szCs w:val="24"/>
        </w:rPr>
      </w:r>
      <w:r>
        <w:rPr>
          <w:rFonts w:eastAsia="Arial" w:eastAsiaTheme="minorEastAsia"/>
          <w:b/>
          <w:sz w:val="24"/>
          <w:szCs w:val="24"/>
        </w:rPr>
      </w:r>
    </w:p>
    <w:p>
      <w:pPr>
        <w:pStyle w:val="902"/>
        <w:pBdr/>
        <w:spacing/>
        <w:ind/>
        <w:rPr>
          <w:rFonts w:eastAsia="Calibri"/>
          <w:b/>
          <w:caps/>
          <w:sz w:val="24"/>
          <w:szCs w:val="24"/>
        </w:rPr>
      </w:pPr>
      <w:r>
        <w:rPr>
          <w:rFonts w:eastAsia="Calibri"/>
          <w:b/>
          <w:caps/>
          <w:sz w:val="24"/>
          <w:szCs w:val="24"/>
        </w:rPr>
      </w:r>
      <w:r>
        <w:rPr>
          <w:sz w:val="24"/>
          <w:szCs w:val="24"/>
        </w:rPr>
        <w:br w:type="page" w:clear="all"/>
      </w:r>
      <w:r>
        <w:rPr>
          <w:rFonts w:eastAsia="Calibri"/>
          <w:b/>
          <w:caps/>
          <w:sz w:val="24"/>
          <w:szCs w:val="24"/>
        </w:rPr>
      </w:r>
      <w:r>
        <w:rPr>
          <w:rFonts w:eastAsia="Calibri"/>
          <w:b/>
          <w:caps/>
          <w:sz w:val="24"/>
          <w:szCs w:val="24"/>
        </w:rPr>
      </w:r>
    </w:p>
    <w:p>
      <w:pPr>
        <w:pStyle w:val="903"/>
        <w:keepLines w:val="true"/>
        <w:pBdr/>
        <w:tabs>
          <w:tab w:val="clear" w:leader="none" w:pos="0"/>
        </w:tabs>
        <w:spacing/>
        <w:ind w:firstLine="0" w:left="357"/>
        <w:rPr>
          <w:caps/>
          <w:sz w:val="24"/>
          <w:szCs w:val="24"/>
          <w:lang w:val="ru-RU"/>
        </w:rPr>
      </w:pPr>
      <w:r>
        <w:rPr>
          <w:caps/>
          <w:sz w:val="24"/>
          <w:szCs w:val="24"/>
          <w:lang w:val="ru-RU"/>
        </w:rPr>
      </w:r>
      <w:r>
        <w:rPr>
          <w:caps/>
          <w:sz w:val="24"/>
          <w:szCs w:val="24"/>
          <w:lang w:val="ru-RU"/>
        </w:rPr>
      </w:r>
      <w:r>
        <w:rPr>
          <w:caps/>
          <w:sz w:val="24"/>
          <w:szCs w:val="24"/>
          <w:lang w:val="ru-RU"/>
        </w:rPr>
      </w:r>
    </w:p>
    <w:p>
      <w:pPr>
        <w:pStyle w:val="903"/>
        <w:keepLines w:val="true"/>
        <w:numPr>
          <w:ilvl w:val="0"/>
          <w:numId w:val="2"/>
        </w:numPr>
        <w:pBdr/>
        <w:spacing/>
        <w:ind w:hanging="357" w:left="357"/>
        <w:jc w:val="center"/>
        <w:rPr>
          <w:caps/>
          <w:sz w:val="24"/>
          <w:szCs w:val="24"/>
          <w:lang w:val="ru-RU"/>
        </w:rPr>
      </w:pPr>
      <w:r/>
      <w:bookmarkStart w:id="0" w:name="_Toc54643694"/>
      <w:r/>
      <w:bookmarkStart w:id="1" w:name="_Toc142564678"/>
      <w:r>
        <w:rPr>
          <w:sz w:val="24"/>
          <w:szCs w:val="24"/>
          <w:lang w:val="ru-RU"/>
        </w:rPr>
        <w:t xml:space="preserve">Общие сведения</w:t>
      </w:r>
      <w:bookmarkEnd w:id="0"/>
      <w:r/>
      <w:bookmarkEnd w:id="1"/>
      <w:r>
        <w:rPr>
          <w:caps/>
          <w:sz w:val="24"/>
          <w:szCs w:val="24"/>
          <w:lang w:val="ru-RU"/>
        </w:rPr>
      </w:r>
      <w:r>
        <w:rPr>
          <w:caps/>
          <w:sz w:val="24"/>
          <w:szCs w:val="24"/>
          <w:lang w:val="ru-RU"/>
        </w:rPr>
      </w:r>
    </w:p>
    <w:p>
      <w:pPr>
        <w:pStyle w:val="906"/>
        <w:numPr>
          <w:ilvl w:val="1"/>
          <w:numId w:val="2"/>
        </w:numPr>
        <w:pBdr/>
        <w:spacing/>
        <w:ind/>
        <w:rPr/>
      </w:pPr>
      <w:r/>
      <w:bookmarkStart w:id="2" w:name="_Toc142564679"/>
      <w:r/>
      <w:bookmarkStart w:id="3" w:name="_Toc46743505"/>
      <w:r/>
      <w:bookmarkStart w:id="4" w:name="_Toc54643695"/>
      <w:r>
        <w:t xml:space="preserve">Обозначения и сокращения</w:t>
      </w:r>
      <w:bookmarkEnd w:id="2"/>
      <w:r/>
      <w:bookmarkEnd w:id="3"/>
      <w:r/>
      <w:bookmarkEnd w:id="4"/>
      <w:r/>
      <w:r/>
    </w:p>
    <w:p>
      <w:pPr>
        <w:pStyle w:val="902"/>
        <w:pBdr/>
        <w:spacing/>
        <w:ind/>
        <w:rPr>
          <w:rStyle w:val="961"/>
          <w:b w:val="0"/>
          <w:bCs/>
          <w:iCs/>
          <w:sz w:val="24"/>
          <w:szCs w:val="24"/>
        </w:rPr>
      </w:pPr>
      <w:r>
        <w:rPr>
          <w:b w:val="0"/>
          <w:bCs/>
          <w:iCs/>
          <w:sz w:val="24"/>
          <w:szCs w:val="24"/>
        </w:rPr>
      </w:r>
      <w:r>
        <w:rPr>
          <w:rStyle w:val="961"/>
          <w:b w:val="0"/>
          <w:bCs/>
          <w:iCs/>
          <w:sz w:val="24"/>
          <w:szCs w:val="24"/>
        </w:rPr>
      </w:r>
      <w:r>
        <w:rPr>
          <w:rStyle w:val="961"/>
          <w:b w:val="0"/>
          <w:bCs/>
          <w:iCs/>
          <w:sz w:val="24"/>
          <w:szCs w:val="24"/>
        </w:rPr>
      </w:r>
    </w:p>
    <w:tbl>
      <w:tblPr>
        <w:tblW w:w="9003" w:type="dxa"/>
        <w:jc w:val="center"/>
        <w:tblInd w:w="0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85"/>
        <w:gridCol w:w="7218"/>
      </w:tblGrid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rStyle w:val="961"/>
                <w:b w:val="0"/>
                <w:iCs/>
                <w:sz w:val="24"/>
                <w:szCs w:val="24"/>
                <w:shd w:val="clear" w:color="auto" w:fill="auto"/>
              </w:rPr>
            </w:pPr>
            <w:r>
              <w:rPr>
                <w:i/>
                <w:iCs/>
                <w:sz w:val="24"/>
                <w:szCs w:val="24"/>
              </w:rPr>
              <w:t xml:space="preserve">СТО</w:t>
            </w:r>
            <w:r>
              <w:rPr>
                <w:rStyle w:val="961"/>
                <w:b w:val="0"/>
                <w:iCs/>
                <w:sz w:val="24"/>
                <w:szCs w:val="24"/>
                <w:shd w:val="clear" w:color="auto" w:fill="auto"/>
              </w:rPr>
            </w:r>
            <w:r>
              <w:rPr>
                <w:rStyle w:val="961"/>
                <w:b w:val="0"/>
                <w:iCs/>
                <w:sz w:val="24"/>
                <w:szCs w:val="24"/>
                <w:shd w:val="clear" w:color="auto" w:fill="auto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rStyle w:val="961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стандарт организации</w:t>
            </w:r>
            <w:r>
              <w:rPr>
                <w:rStyle w:val="961"/>
                <w:b w:val="0"/>
                <w:bCs/>
                <w:i w:val="0"/>
                <w:iCs/>
                <w:sz w:val="24"/>
                <w:szCs w:val="24"/>
              </w:rPr>
            </w:r>
            <w:r>
              <w:rPr>
                <w:rStyle w:val="961"/>
                <w:b w:val="0"/>
                <w:bCs/>
                <w:i w:val="0"/>
                <w:iCs/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rStyle w:val="961"/>
                <w:b w:val="0"/>
                <w:iCs/>
                <w:sz w:val="24"/>
                <w:szCs w:val="24"/>
                <w:shd w:val="clear" w:color="auto" w:fill="auto"/>
              </w:rPr>
            </w:pPr>
            <w:r>
              <w:rPr>
                <w:i/>
                <w:iCs/>
                <w:sz w:val="24"/>
                <w:szCs w:val="24"/>
              </w:rPr>
              <w:t xml:space="preserve">ТТ</w:t>
            </w:r>
            <w:r>
              <w:rPr>
                <w:rStyle w:val="961"/>
                <w:b w:val="0"/>
                <w:iCs/>
                <w:sz w:val="24"/>
                <w:szCs w:val="24"/>
                <w:shd w:val="clear" w:color="auto" w:fill="auto"/>
              </w:rPr>
            </w:r>
            <w:r>
              <w:rPr>
                <w:rStyle w:val="961"/>
                <w:b w:val="0"/>
                <w:iCs/>
                <w:sz w:val="24"/>
                <w:szCs w:val="24"/>
                <w:shd w:val="clear" w:color="auto" w:fill="auto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rStyle w:val="961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технические требования</w:t>
            </w:r>
            <w:r>
              <w:rPr>
                <w:rStyle w:val="961"/>
                <w:b w:val="0"/>
                <w:bCs/>
                <w:i w:val="0"/>
                <w:iCs/>
                <w:sz w:val="24"/>
                <w:szCs w:val="24"/>
              </w:rPr>
            </w:r>
            <w:r>
              <w:rPr>
                <w:rStyle w:val="961"/>
                <w:b w:val="0"/>
                <w:bCs/>
                <w:i w:val="0"/>
                <w:iCs/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РД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руководящие документы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СП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свод правил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ГОСТ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государственный стандарт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СНиП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строительные правила и нормы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ПУЭ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правила устройства электроустановок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ПТЭ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правила технической эксплуатации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vMerge w:val="restart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МПОТ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vMerge w:val="restart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межотраслевые правила по охране труда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vMerge w:val="restart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СРО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vMerge w:val="restart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саморегулируемые организации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vMerge w:val="restart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СМР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vMerge w:val="restart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строительно–монтажные работы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5" w:type="dxa"/>
            <w:vMerge w:val="restart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ДЭС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8" w:type="dxa"/>
            <w:vMerge w:val="restart"/>
            <w:textDirection w:val="lrTb"/>
            <w:noWrap w:val="false"/>
          </w:tcPr>
          <w:p>
            <w:pPr>
              <w:pStyle w:val="902"/>
              <w:keepNext w:val="true"/>
              <w:keepLines w:val="true"/>
              <w:widowControl w:val="false"/>
              <w:pBdr/>
              <w:spacing/>
              <w:ind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  <w:lang w:eastAsia="en-US"/>
              </w:rPr>
              <w:t xml:space="preserve">Дизельная электростанция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i/>
                <w:iCs/>
                <w:sz w:val="24"/>
                <w:szCs w:val="24"/>
              </w:rPr>
            </w:r>
          </w:p>
        </w:tc>
      </w:tr>
    </w:tbl>
    <w:p>
      <w:pPr>
        <w:pStyle w:val="902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6"/>
        <w:numPr>
          <w:ilvl w:val="1"/>
          <w:numId w:val="2"/>
        </w:numPr>
        <w:pBdr/>
        <w:spacing/>
        <w:ind/>
        <w:rPr/>
      </w:pPr>
      <w:r/>
      <w:bookmarkStart w:id="5" w:name="_Toc54643696"/>
      <w:r/>
      <w:bookmarkStart w:id="6" w:name="_Toc46743506"/>
      <w:r/>
      <w:bookmarkStart w:id="7" w:name="_Toc142564680"/>
      <w:r>
        <w:t xml:space="preserve">Наименование закупаемой продукции</w:t>
      </w:r>
      <w:bookmarkEnd w:id="5"/>
      <w:r/>
      <w:bookmarkEnd w:id="6"/>
      <w:r/>
      <w:bookmarkEnd w:id="7"/>
      <w:r/>
      <w:r/>
    </w:p>
    <w:p>
      <w:pPr>
        <w:pStyle w:val="902"/>
        <w:widowControl w:val="false"/>
        <w:pBdr/>
        <w:tabs>
          <w:tab w:val="left" w:leader="none" w:pos="426"/>
          <w:tab w:val="clear" w:leader="none" w:pos="708"/>
        </w:tabs>
        <w:spacing w:after="120" w:before="120"/>
        <w:ind/>
        <w:rPr>
          <w:rStyle w:val="961"/>
          <w:bCs/>
          <w:sz w:val="24"/>
          <w:szCs w:val="24"/>
        </w:rPr>
      </w:pPr>
      <w:r>
        <w:rPr>
          <w:rFonts w:eastAsia="Calibri"/>
          <w:sz w:val="24"/>
          <w:szCs w:val="24"/>
        </w:rPr>
        <w:tab/>
        <w:t xml:space="preserve">ОКПД2 - 71.20.12.000 Оказание услуг по техническому освидетельствованию (диагностированию) градирни ДЭС пгт. Батагай, </w:t>
      </w:r>
      <w:r>
        <w:rPr>
          <w:rFonts w:eastAsia="Calibri"/>
          <w:sz w:val="24"/>
          <w:szCs w:val="24"/>
        </w:rPr>
        <w:t xml:space="preserve"> Верхоянских ЭС</w:t>
      </w:r>
      <w:r>
        <w:rPr>
          <w:rFonts w:eastAsia="Calibri"/>
          <w:sz w:val="24"/>
          <w:szCs w:val="24"/>
        </w:rPr>
        <w:t xml:space="preserve"> АО «Сахаэнерго»</w:t>
      </w:r>
      <w:r>
        <w:rPr>
          <w:rStyle w:val="961"/>
          <w:bCs/>
          <w:sz w:val="24"/>
          <w:szCs w:val="24"/>
        </w:rPr>
      </w:r>
      <w:r>
        <w:rPr>
          <w:rStyle w:val="961"/>
          <w:bCs/>
          <w:sz w:val="24"/>
          <w:szCs w:val="24"/>
        </w:rPr>
      </w:r>
    </w:p>
    <w:p>
      <w:pPr>
        <w:pStyle w:val="902"/>
        <w:widowControl w:val="false"/>
        <w:pBdr/>
        <w:tabs>
          <w:tab w:val="left" w:leader="none" w:pos="426"/>
          <w:tab w:val="clear" w:leader="none" w:pos="708"/>
        </w:tabs>
        <w:spacing w:after="120" w:before="120"/>
        <w: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906"/>
        <w:numPr>
          <w:ilvl w:val="1"/>
          <w:numId w:val="2"/>
        </w:numPr>
        <w:pBdr/>
        <w:spacing w:after="60" w:before="240"/>
        <w:ind w:hanging="431" w:left="431"/>
        <w:rPr/>
      </w:pPr>
      <w:r/>
      <w:bookmarkStart w:id="8" w:name="_Toc54643697"/>
      <w:r/>
      <w:bookmarkStart w:id="9" w:name="_Toc142564681"/>
      <w:r/>
      <w:bookmarkStart w:id="10" w:name="_Toc46743507"/>
      <w:r>
        <w:t xml:space="preserve">Цель </w:t>
      </w:r>
      <w:bookmarkEnd w:id="10"/>
      <w:r>
        <w:rPr>
          <w:lang w:val="ru-RU"/>
        </w:rPr>
        <w:t xml:space="preserve">оказания услуг</w:t>
      </w:r>
      <w:bookmarkEnd w:id="9"/>
      <w:r>
        <w:t xml:space="preserve"> </w:t>
      </w:r>
      <w:bookmarkEnd w:id="8"/>
      <w:r/>
      <w:r/>
    </w:p>
    <w:p>
      <w:pPr>
        <w:pStyle w:val="902"/>
        <w:numPr>
          <w:ilvl w:val="0"/>
          <w:numId w:val="15"/>
        </w:numPr>
        <w:pBdr/>
        <w:tabs>
          <w:tab w:val="left" w:leader="none" w:pos="284"/>
          <w:tab w:val="clear" w:leader="none" w:pos="708"/>
        </w:tabs>
        <w:spacing/>
        <w:ind w:right="0" w:firstLine="360" w:left="0"/>
        <w:jc w:val="both"/>
        <w:rPr/>
      </w:pPr>
      <w:r>
        <w:rPr>
          <w:sz w:val="24"/>
          <w:szCs w:val="24"/>
        </w:rPr>
        <w:t xml:space="preserve">Определение техническое состояние градирни, получить фактические показатели качества конструкций на дату обследования, дать техническое решение на усиление и/или устранение выявленных дефектов и повреждений.</w:t>
      </w:r>
      <w:r/>
    </w:p>
    <w:p>
      <w:pPr>
        <w:pStyle w:val="902"/>
        <w:pBdr/>
        <w:tabs>
          <w:tab w:val="left" w:leader="none" w:pos="284"/>
          <w:tab w:val="clear" w:leader="none" w:pos="708"/>
        </w:tabs>
        <w:spacing/>
        <w:ind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903"/>
        <w:keepLines w:val="true"/>
        <w:pBdr/>
        <w:tabs>
          <w:tab w:val="clear" w:leader="none" w:pos="0"/>
        </w:tabs>
        <w:spacing w:after="60" w:before="240"/>
        <w:ind w:firstLine="0" w:left="0"/>
        <w:rPr>
          <w:sz w:val="24"/>
          <w:szCs w:val="24"/>
          <w:lang w:val="ru-RU"/>
        </w:rPr>
      </w:pPr>
      <w:r/>
      <w:bookmarkStart w:id="11" w:name="_Toc142564682"/>
      <w:r/>
      <w:bookmarkStart w:id="12" w:name="_Toc54643699"/>
      <w:r/>
      <w:bookmarkStart w:id="13" w:name="_Toc546436981"/>
      <w:r/>
      <w:bookmarkStart w:id="14" w:name="_Toc467435081"/>
      <w:r/>
      <w:bookmarkEnd w:id="13"/>
      <w:r/>
      <w:bookmarkEnd w:id="14"/>
      <w:r>
        <w:rPr>
          <w:sz w:val="24"/>
          <w:szCs w:val="24"/>
        </w:rPr>
        <w:t xml:space="preserve">Таблица 1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Перечень объектов заказчика</w:t>
      </w:r>
      <w:bookmarkEnd w:id="11"/>
      <w:r/>
      <w:bookmarkEnd w:id="12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tbl>
      <w:tblPr>
        <w:tblW w:w="10091" w:type="dxa"/>
        <w:jc w:val="center"/>
        <w:tblInd w:w="0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000" w:firstRow="0" w:lastRow="0" w:firstColumn="0" w:lastColumn="0" w:noHBand="0" w:noVBand="0"/>
      </w:tblPr>
      <w:tblGrid>
        <w:gridCol w:w="488"/>
        <w:gridCol w:w="2522"/>
        <w:gridCol w:w="2543"/>
        <w:gridCol w:w="2186"/>
        <w:gridCol w:w="2353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2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объекта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4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Расположение объекта </w:t>
            </w:r>
            <w:r>
              <w:rPr>
                <w:i/>
                <w:iCs/>
                <w:sz w:val="22"/>
                <w:szCs w:val="22"/>
              </w:rPr>
              <w:t xml:space="preserve">(место оказания услуг)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основного средства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Примечания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2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4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8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numPr>
                <w:ilvl w:val="0"/>
                <w:numId w:val="31"/>
              </w:numPr>
              <w:pBdr/>
              <w:spacing w:after="0" w:before="0"/>
              <w:ind/>
              <w:contextualSpacing w:val="true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2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Градирня пгт. Батагай - 700 м3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4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bidi w:val="false"/>
              <w:spacing/>
              <w:ind/>
              <w:jc w:val="center"/>
              <w:rPr>
                <w:b w:val="0"/>
                <w:bCs w:val="0"/>
                <w:i w:val="0"/>
                <w:strike w:val="0"/>
                <w:sz w:val="22"/>
                <w:szCs w:val="22"/>
                <w:u w:val="none"/>
              </w:rPr>
            </w:pPr>
            <w:r>
              <w:rPr>
                <w:b w:val="0"/>
                <w:i w:val="0"/>
                <w:strike w:val="0"/>
                <w:sz w:val="22"/>
                <w:szCs w:val="22"/>
                <w:u w:val="none"/>
              </w:rPr>
              <w:t xml:space="preserve">РФ, РС(Я), Верхоянский район, </w:t>
            </w:r>
            <w:r>
              <w:rPr>
                <w:b w:val="0"/>
                <w:i w:val="0"/>
                <w:strike w:val="0"/>
                <w:sz w:val="22"/>
                <w:szCs w:val="22"/>
                <w:u w:val="none"/>
              </w:rPr>
              <w:t xml:space="preserve">пгт. Батагай</w:t>
            </w:r>
            <w:r>
              <w:rPr>
                <w:b w:val="0"/>
                <w:bCs w:val="0"/>
                <w:i w:val="0"/>
                <w:strike w:val="0"/>
                <w:sz w:val="22"/>
                <w:szCs w:val="22"/>
                <w:u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hd w:val="clear" w:color="ffffff" w:themeColor="background1" w:fill="ffffff" w:themeFill="background1"/>
              <w:spacing/>
              <w:ind w:firstLine="0" w:left="0"/>
              <w:jc w:val="center"/>
              <w:rPr>
                <w:bCs w:val="0"/>
                <w:i w:val="0"/>
                <w:sz w:val="22"/>
                <w:szCs w:val="22"/>
                <w:highlight w:val="white"/>
              </w:rPr>
            </w:pPr>
            <w:r>
              <w:rPr>
                <w:i w:val="0"/>
                <w:iCs w:val="0"/>
                <w:sz w:val="22"/>
                <w:szCs w:val="22"/>
                <w:highlight w:val="none"/>
              </w:rPr>
            </w:r>
            <w:r>
              <w:rPr>
                <w:i w:val="0"/>
                <w:iCs w:val="0"/>
                <w:sz w:val="22"/>
                <w:szCs w:val="22"/>
                <w:highlight w:val="none"/>
              </w:rPr>
            </w:r>
            <w:r>
              <w:rPr>
                <w:i w:val="0"/>
                <w:iCs w:val="0"/>
                <w:sz w:val="22"/>
                <w:szCs w:val="22"/>
                <w:highlight w:val="none"/>
              </w:rPr>
              <w:t xml:space="preserve">Градирня 700 м3 п. Батагай</w:t>
            </w:r>
            <w:r>
              <w:rPr>
                <w:i w:val="0"/>
                <w:iCs w:val="0"/>
                <w:sz w:val="22"/>
                <w:szCs w:val="22"/>
                <w:highlight w:val="none"/>
              </w:rPr>
            </w:r>
            <w:r>
              <w:rPr>
                <w:i w:val="0"/>
                <w:iCs w:val="0"/>
                <w:sz w:val="22"/>
                <w:szCs w:val="22"/>
                <w:highlight w:val="none"/>
              </w:rPr>
              <w:t xml:space="preserve"> – инв. </w:t>
            </w:r>
            <w:r>
              <w:rPr>
                <w:i w:val="0"/>
                <w:iCs w:val="0"/>
                <w:sz w:val="22"/>
                <w:szCs w:val="22"/>
                <w:highlight w:val="none"/>
              </w:rPr>
            </w:r>
            <w:r>
              <w:rPr>
                <w:i w:val="0"/>
                <w:iCs w:val="0"/>
                <w:sz w:val="22"/>
                <w:szCs w:val="22"/>
                <w:highlight w:val="none"/>
              </w:rPr>
              <w:t xml:space="preserve">000005364</w:t>
            </w:r>
            <w:r>
              <w:rPr>
                <w:i w:val="0"/>
                <w:iCs w:val="0"/>
                <w:sz w:val="22"/>
                <w:szCs w:val="22"/>
                <w:highlight w:val="none"/>
              </w:rPr>
            </w:r>
            <w:r>
              <w:rPr>
                <w:bCs w:val="0"/>
                <w:i w:val="0"/>
                <w:sz w:val="22"/>
                <w:szCs w:val="22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Эксплуатирующая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организация: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02"/>
              <w:widowControl w:val="false"/>
              <w:pBdr/>
              <w:spacing/>
              <w:ind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Верхоянский ЭС АО «Сахаэнерго»</w:t>
            </w:r>
            <w:r>
              <w:rPr>
                <w:iCs/>
                <w:sz w:val="22"/>
                <w:szCs w:val="22"/>
              </w:rPr>
            </w:r>
            <w:r>
              <w:rPr>
                <w:iCs/>
                <w:sz w:val="22"/>
                <w:szCs w:val="22"/>
              </w:rPr>
            </w:r>
          </w:p>
        </w:tc>
      </w:tr>
    </w:tbl>
    <w:p>
      <w:pPr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902"/>
        <w:pBdr/>
        <w:spacing/>
        <w:ind/>
        <w:rPr/>
      </w:pPr>
      <w:r/>
      <w:r/>
    </w:p>
    <w:p>
      <w:pPr>
        <w:pStyle w:val="906"/>
        <w:numPr>
          <w:ilvl w:val="1"/>
          <w:numId w:val="2"/>
        </w:numPr>
        <w:pBdr/>
        <w:spacing/>
        <w:ind/>
        <w:jc w:val="both"/>
        <w:rPr/>
      </w:pPr>
      <w:r/>
      <w:bookmarkStart w:id="15" w:name="_Toc142564683"/>
      <w:r/>
      <w:bookmarkStart w:id="16" w:name="_Toc46743509"/>
      <w:r/>
      <w:bookmarkStart w:id="17" w:name="_Hlk49857604"/>
      <w:r>
        <w:t xml:space="preserve">Информация в отношении исполнения договора, </w:t>
      </w:r>
      <w:bookmarkStart w:id="18" w:name="_Hlk46492347"/>
      <w:r>
        <w:t xml:space="preserve">которая должна быть учтена при подготовке заявки </w:t>
      </w:r>
      <w:bookmarkEnd w:id="18"/>
      <w:r>
        <w:t xml:space="preserve">(в том числе перечень ресурсов, услуг и документов, предоставляемых </w:t>
      </w:r>
      <w:r>
        <w:rPr>
          <w:lang w:val="ru-RU"/>
        </w:rPr>
        <w:t xml:space="preserve">заказчиком</w:t>
      </w:r>
      <w:r>
        <w:t xml:space="preserve"> на этапе исполнения договора</w:t>
      </w:r>
      <w:bookmarkEnd w:id="16"/>
      <w:r/>
      <w:bookmarkEnd w:id="17"/>
      <w:r>
        <w:rPr>
          <w:lang w:val="ru-RU"/>
        </w:rPr>
        <w:t xml:space="preserve">):</w:t>
      </w:r>
      <w:bookmarkEnd w:id="15"/>
      <w:r/>
      <w:r/>
    </w:p>
    <w:p>
      <w:pPr>
        <w:pStyle w:val="902"/>
        <w:pBdr/>
        <w:spacing/>
        <w:ind/>
        <w:jc w:val="both"/>
        <w:rPr>
          <w:sz w:val="24"/>
          <w:szCs w:val="24"/>
        </w:rPr>
      </w:pPr>
      <w:r/>
      <w:bookmarkStart w:id="19" w:name="_Toc54643701"/>
      <w:r/>
      <w:bookmarkStart w:id="20" w:name="_Toc50125126"/>
      <w:r/>
      <w:bookmarkEnd w:id="19"/>
      <w:r/>
      <w:bookmarkEnd w:id="20"/>
      <w:r>
        <w:rPr>
          <w:sz w:val="24"/>
          <w:szCs w:val="24"/>
        </w:rPr>
        <w:t xml:space="preserve">Полная детализация оказание услуг указана в перечне и объемах выполняемых Услуг (Таблица № 2), являющейся неотъемлемой частью настоящих технических требований.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12"/>
        <w:pBdr/>
        <w:shd w:val="clear" w:color="auto" w:fill="ffffff"/>
        <w:tabs>
          <w:tab w:val="clear" w:leader="none" w:pos="708"/>
          <w:tab w:val="left" w:leader="none" w:pos="709"/>
        </w:tabs>
        <w:spacing/>
        <w:ind w:firstLine="0" w:left="426"/>
        <w:jc w:val="both"/>
        <w:rPr>
          <w:color w:val="2c2d2e"/>
        </w:rPr>
      </w:pPr>
      <w:r>
        <w:rPr>
          <w:color w:val="2c2d2e"/>
        </w:rPr>
      </w:r>
      <w:r>
        <w:rPr>
          <w:color w:val="2c2d2e"/>
        </w:rPr>
      </w:r>
      <w:r>
        <w:rPr>
          <w:color w:val="2c2d2e"/>
        </w:rPr>
      </w:r>
    </w:p>
    <w:p>
      <w:pPr>
        <w:pStyle w:val="903"/>
        <w:keepLines w:val="true"/>
        <w:numPr>
          <w:ilvl w:val="0"/>
          <w:numId w:val="2"/>
        </w:numPr>
        <w:pBdr/>
        <w:spacing/>
        <w:ind w:hanging="357" w:left="357"/>
        <w:jc w:val="center"/>
        <w:rPr>
          <w:iCs/>
          <w:caps/>
          <w:sz w:val="24"/>
          <w:szCs w:val="24"/>
          <w:lang w:val="ru-RU"/>
        </w:rPr>
      </w:pPr>
      <w:r/>
      <w:bookmarkStart w:id="21" w:name="_Toc54643702"/>
      <w:r/>
      <w:bookmarkStart w:id="22" w:name="_Toc51339693"/>
      <w:r/>
      <w:bookmarkStart w:id="23" w:name="_Toc142564684"/>
      <w:r/>
      <w:bookmarkStart w:id="24" w:name="_Toc546437011"/>
      <w:r/>
      <w:bookmarkEnd w:id="24"/>
      <w:r>
        <w:rPr>
          <w:iCs/>
          <w:sz w:val="24"/>
          <w:szCs w:val="24"/>
          <w:lang w:val="ru-RU"/>
        </w:rPr>
        <w:t xml:space="preserve">Требования</w:t>
      </w:r>
      <w:r>
        <w:rPr>
          <w:iCs/>
          <w:sz w:val="24"/>
          <w:szCs w:val="24"/>
        </w:rPr>
        <w:t xml:space="preserve"> к продукции</w:t>
      </w:r>
      <w:bookmarkEnd w:id="21"/>
      <w:r/>
      <w:bookmarkEnd w:id="22"/>
      <w:r/>
      <w:bookmarkEnd w:id="23"/>
      <w:r>
        <w:rPr>
          <w:iCs/>
          <w:caps/>
          <w:sz w:val="24"/>
          <w:szCs w:val="24"/>
          <w:lang w:val="ru-RU"/>
        </w:rPr>
      </w:r>
      <w:r>
        <w:rPr>
          <w:iCs/>
          <w:caps/>
          <w:sz w:val="24"/>
          <w:szCs w:val="24"/>
          <w:lang w:val="ru-RU"/>
        </w:rPr>
      </w:r>
    </w:p>
    <w:p>
      <w:pPr>
        <w:pStyle w:val="906"/>
        <w:numPr>
          <w:ilvl w:val="1"/>
          <w:numId w:val="2"/>
        </w:numPr>
        <w:pBdr/>
        <w:spacing/>
        <w:ind/>
        <w:rPr/>
      </w:pPr>
      <w:r/>
      <w:bookmarkStart w:id="25" w:name="_Toc54643703"/>
      <w:r/>
      <w:bookmarkStart w:id="26" w:name="_Toc142564685"/>
      <w:r>
        <w:t xml:space="preserve">Требования к объемам и срокам </w:t>
      </w:r>
      <w:r>
        <w:rPr>
          <w:lang w:val="ru-RU"/>
        </w:rPr>
        <w:t xml:space="preserve">оказания услуг</w:t>
      </w:r>
      <w:bookmarkEnd w:id="25"/>
      <w:r/>
      <w:bookmarkEnd w:id="26"/>
      <w:r/>
      <w:r/>
    </w:p>
    <w:p>
      <w:pPr>
        <w:pStyle w:val="905"/>
        <w:numPr>
          <w:ilvl w:val="2"/>
          <w:numId w:val="2"/>
        </w:numPr>
        <w:pBdr/>
        <w:spacing/>
        <w:ind/>
        <w:rPr/>
      </w:pPr>
      <w:r/>
      <w:bookmarkStart w:id="27" w:name="_Toc54643704"/>
      <w:r/>
      <w:bookmarkStart w:id="28" w:name="_Toc142564686"/>
      <w:r>
        <w:rPr>
          <w:lang w:val="ru-RU"/>
        </w:rPr>
        <w:t xml:space="preserve">Требования к перечню и объему услуг</w:t>
      </w:r>
      <w:bookmarkEnd w:id="27"/>
      <w:r/>
      <w:bookmarkEnd w:id="28"/>
      <w:r/>
      <w:r/>
    </w:p>
    <w:p>
      <w:pPr>
        <w:pStyle w:val="903"/>
        <w:keepLines w:val="true"/>
        <w:pBdr/>
        <w:tabs>
          <w:tab w:val="clear" w:leader="none" w:pos="0"/>
        </w:tabs>
        <w:spacing w:after="60" w:before="240"/>
        <w:ind w:firstLine="0" w:left="0"/>
        <w:rPr>
          <w:sz w:val="24"/>
          <w:szCs w:val="24"/>
          <w:lang w:val="ru-RU"/>
        </w:rPr>
      </w:pPr>
      <w:r/>
      <w:bookmarkStart w:id="29" w:name="_Toc54643705"/>
      <w:r/>
      <w:bookmarkStart w:id="30" w:name="_Toc142564687"/>
      <w:r/>
      <w:bookmarkStart w:id="31" w:name="_Toc51339695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 xml:space="preserve">2.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Перечень </w:t>
      </w:r>
      <w:bookmarkEnd w:id="31"/>
      <w:r>
        <w:rPr>
          <w:sz w:val="24"/>
          <w:szCs w:val="24"/>
          <w:lang w:val="ru-RU"/>
        </w:rPr>
        <w:t xml:space="preserve">и объем оказываемых услуг</w:t>
      </w:r>
      <w:bookmarkEnd w:id="29"/>
      <w:r/>
      <w:bookmarkEnd w:id="30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tbl>
      <w:tblPr>
        <w:tblW w:w="9778" w:type="dxa"/>
        <w:tblInd w:w="109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000" w:firstRow="0" w:lastRow="0" w:firstColumn="0" w:lastColumn="0" w:noHBand="0" w:noVBand="0"/>
      </w:tblPr>
      <w:tblGrid>
        <w:gridCol w:w="846"/>
        <w:gridCol w:w="8932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902"/>
              <w:keepNext w:val="true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2"/>
              <w:keepNext w:val="true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vAlign w:val="center"/>
            <w:textDirection w:val="lrTb"/>
            <w:noWrap w:val="false"/>
          </w:tcPr>
          <w:p>
            <w:pPr>
              <w:pStyle w:val="902"/>
              <w:keepNext w:val="true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услуг / этапа 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 w:right="-116" w:hanging="24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0"/>
                <w:numId w:val="8"/>
              </w:numPr>
              <w:pBdr/>
              <w:spacing/>
              <w:ind w:right="-116" w:firstLine="165" w:left="0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Содержание и объем экспертного технического диагностирования градирни включает в себя: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технической документации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Визуальный и измерительный контроль (ВИК) основного металла и сварных соединений элементов металлоконструкций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состояния антикоррозионной защиты металлических конструкций градирни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Неразрушающий контроль (ультразвуковой контроль (УЗК) или радиографический контроль (РК) ) сварных соединений емкостей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состояния основания и отмостки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состояния вспомогательных элементов, обеспечивающих безопасную эксплуатацию градирни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состояния лестниц, площадок, переходов, ограждений, обеспечивающих безопасность работы обслуживающего персонала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состояния патрубков, запорной арматуры и трубопроводов обвязки градирни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Измерение толщин листов поясов стенки и днищ емкостей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сварных соединений неразрушающими методами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Поверочные расчеты стенок градирни на прочность и устойчивость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Расчет остаточного ресурса безопасной эксплуатации (срока службы) градирни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Геодезические измерения неравномерной осадки наружного контура днища;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142" w:left="3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По результатам поверочных расчетов выполнить разработку технических рекомендаций на устранение дефектов и повреждений, влияющих на несущую способность и устойчивость конструкций или их элементов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902"/>
              <w:widowControl w:val="false"/>
              <w:pBdr/>
              <w:spacing/>
              <w:ind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0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360" w:left="720"/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  <w:r>
              <w:rPr>
                <w:b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suppressLineNumbers w:val="false"/>
              <w:pBdr/>
              <w:spacing w:after="0" w:before="0"/>
              <w:ind w:firstLine="0"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  <w:lang w:val="ru-RU" w:eastAsia="en-US" w:bidi="ar-SA"/>
              </w:rPr>
              <w:t xml:space="preserve">Результаты работ считаются принятыми после подписания всех необходимых актов: Акт об оказании услуг, счет, счет-фактура/УПД.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0"/>
                <w:numId w:val="9"/>
              </w:numPr>
              <w:pBdr/>
              <w:tabs>
                <w:tab w:val="left" w:leader="none" w:pos="360"/>
                <w:tab w:val="clear" w:leader="none" w:pos="708"/>
              </w:tabs>
              <w:spacing/>
              <w:ind w:right="-116" w:hanging="360" w:left="720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3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hd w:val="clear" w:color="auto" w:fill="ffffff"/>
              <w:tabs>
                <w:tab w:val="left" w:leader="none" w:pos="0"/>
                <w:tab w:val="left" w:leader="none" w:pos="691"/>
                <w:tab w:val="clear" w:leader="none" w:pos="708"/>
              </w:tabs>
              <w:spacing w:after="0" w:before="10" w:line="269" w:lineRule="exact"/>
              <w:ind w:right="134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Выдача технического заключения по результатам полного технического обследов</w:t>
            </w:r>
            <w:r>
              <w:rPr>
                <w:sz w:val="24"/>
                <w:szCs w:val="24"/>
              </w:rPr>
              <w:t xml:space="preserve">ания градирни, подписанные руководителем организации, проводившей обследование и экспертами, участвовавшими в проведении обследования, заверенное печатью экспертной организации и прошитое с указанием листов. Заключение выдается на каждую градирни отдельно.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902"/>
        <w:widowControl w:val="false"/>
        <w:pBdr/>
        <w:tabs>
          <w:tab w:val="left" w:leader="none" w:pos="426"/>
          <w:tab w:val="clear" w:leader="none" w:pos="708"/>
        </w:tabs>
        <w:spacing w:after="120" w:before="120"/>
        <w:ind w:firstLine="142"/>
        <w:rPr>
          <w:bCs/>
          <w:i/>
          <w:sz w:val="24"/>
          <w:szCs w:val="24"/>
          <w:shd w:val="clear" w:color="auto" w:fill="ffff99"/>
        </w:rPr>
      </w:pPr>
      <w:r>
        <w:rPr>
          <w:bCs/>
          <w:i/>
          <w:sz w:val="24"/>
          <w:szCs w:val="24"/>
          <w:shd w:val="clear" w:color="auto" w:fill="ffff99"/>
        </w:rPr>
      </w:r>
      <w:r>
        <w:rPr>
          <w:bCs/>
          <w:i/>
          <w:sz w:val="24"/>
          <w:szCs w:val="24"/>
          <w:shd w:val="clear" w:color="auto" w:fill="ffff99"/>
        </w:rPr>
      </w:r>
      <w:r>
        <w:rPr>
          <w:bCs/>
          <w:i/>
          <w:sz w:val="24"/>
          <w:szCs w:val="24"/>
          <w:shd w:val="clear" w:color="auto" w:fill="ffff99"/>
        </w:rPr>
      </w:r>
    </w:p>
    <w:p>
      <w:pPr>
        <w:pStyle w:val="905"/>
        <w:numPr>
          <w:ilvl w:val="2"/>
          <w:numId w:val="2"/>
        </w:numPr>
        <w:pBdr/>
        <w:spacing/>
        <w:ind/>
        <w:rPr>
          <w:lang w:val="ru-RU"/>
        </w:rPr>
      </w:pPr>
      <w:r/>
      <w:bookmarkStart w:id="32" w:name="_Toc54643706"/>
      <w:r/>
      <w:bookmarkStart w:id="33" w:name="_Toc142564688"/>
      <w:r/>
      <w:bookmarkStart w:id="34" w:name="_Toc51339696"/>
      <w:r>
        <w:rPr>
          <w:lang w:val="ru-RU"/>
        </w:rPr>
        <w:t xml:space="preserve">Требования </w:t>
      </w:r>
      <w:bookmarkEnd w:id="34"/>
      <w:r>
        <w:rPr>
          <w:lang w:val="ru-RU"/>
        </w:rPr>
        <w:t xml:space="preserve">к срокам оказания услуг</w:t>
      </w:r>
      <w:bookmarkEnd w:id="32"/>
      <w:r/>
      <w:bookmarkEnd w:id="33"/>
      <w:r>
        <w:rPr>
          <w:lang w:val="ru-RU"/>
        </w:rPr>
      </w:r>
      <w:r>
        <w:rPr>
          <w:lang w:val="ru-RU"/>
        </w:rPr>
      </w:r>
    </w:p>
    <w:p>
      <w:pPr>
        <w:pStyle w:val="903"/>
        <w:keepLines w:val="true"/>
        <w:pBdr/>
        <w:tabs>
          <w:tab w:val="clear" w:leader="none" w:pos="0"/>
        </w:tabs>
        <w:spacing w:after="60" w:before="240"/>
        <w:ind w:firstLine="0" w:left="0"/>
        <w:rPr>
          <w:sz w:val="24"/>
          <w:szCs w:val="24"/>
          <w:lang w:val="ru-RU"/>
        </w:rPr>
      </w:pPr>
      <w:r/>
      <w:bookmarkStart w:id="35" w:name="_Toc142564689"/>
      <w:r/>
      <w:bookmarkStart w:id="36" w:name="_Toc54643707"/>
      <w:r/>
      <w:bookmarkStart w:id="37" w:name="_Toc50125127"/>
      <w:r/>
      <w:bookmarkStart w:id="38" w:name="_Toc51339697"/>
      <w:r/>
      <w:bookmarkStart w:id="39" w:name="_Toc501251261"/>
      <w:r/>
      <w:bookmarkEnd w:id="39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 xml:space="preserve">3</w:t>
      </w:r>
      <w:r>
        <w:rPr>
          <w:sz w:val="24"/>
          <w:szCs w:val="24"/>
        </w:rPr>
        <w:t xml:space="preserve">. </w:t>
      </w:r>
      <w:bookmarkStart w:id="40" w:name="_Hlk50465284"/>
      <w:r>
        <w:rPr>
          <w:sz w:val="24"/>
          <w:szCs w:val="24"/>
        </w:rPr>
        <w:t xml:space="preserve">Требования </w:t>
      </w:r>
      <w:r>
        <w:rPr>
          <w:sz w:val="24"/>
          <w:szCs w:val="24"/>
          <w:lang w:val="ru-RU"/>
        </w:rPr>
        <w:t xml:space="preserve">к</w:t>
      </w:r>
      <w:r>
        <w:rPr>
          <w:sz w:val="24"/>
          <w:szCs w:val="24"/>
        </w:rPr>
        <w:t xml:space="preserve"> срокам </w:t>
      </w:r>
      <w:bookmarkEnd w:id="37"/>
      <w:r/>
      <w:bookmarkEnd w:id="38"/>
      <w:r/>
      <w:bookmarkEnd w:id="40"/>
      <w:r>
        <w:rPr>
          <w:sz w:val="24"/>
          <w:szCs w:val="24"/>
          <w:lang w:val="ru-RU"/>
        </w:rPr>
        <w:t xml:space="preserve">оказания услуг</w:t>
      </w:r>
      <w:bookmarkEnd w:id="35"/>
      <w:r/>
      <w:bookmarkEnd w:id="36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tbl>
      <w:tblPr>
        <w:tblW w:w="9776" w:type="dxa"/>
        <w:tblInd w:w="106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52"/>
        <w:gridCol w:w="2828"/>
        <w:gridCol w:w="2979"/>
        <w:gridCol w:w="3116"/>
      </w:tblGrid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2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 xml:space="preserve">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2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услуг/ этапа 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к началу срока оказания услуг/ этапа 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к окончанию срока оказания услуг / этапа 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2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28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1023"/>
              <w:keepNext w:val="false"/>
              <w:widowControl w:val="false"/>
              <w:pBdr/>
              <w:spacing w:after="40" w:before="40"/>
              <w:ind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6" w:type="dxa"/>
            <w:textDirection w:val="lrTb"/>
            <w:noWrap w:val="false"/>
          </w:tcPr>
          <w:p>
            <w:pPr>
              <w:pStyle w:val="1023"/>
              <w:keepNext w:val="false"/>
              <w:widowControl w:val="false"/>
              <w:pBdr/>
              <w:spacing w:after="40" w:before="40"/>
              <w:ind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2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0"/>
                <w:numId w:val="5"/>
              </w:numPr>
              <w:pBdr/>
              <w:spacing/>
              <w:ind/>
              <w:jc w:val="center"/>
              <w:rPr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2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120" w:before="120"/>
              <w:ind/>
              <w:rPr>
                <w:rStyle w:val="961"/>
                <w:bCs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ОКПД2 - 71.20.12.000 Оказание услуг по техническому освидетельствованию (диагностированию) градирни ДЭС пгт. Батагай, </w:t>
            </w:r>
            <w:r>
              <w:rPr>
                <w:rFonts w:eastAsia="Calibri"/>
                <w:sz w:val="24"/>
                <w:szCs w:val="24"/>
              </w:rPr>
              <w:t xml:space="preserve"> Верхоянских ЭС</w:t>
            </w:r>
            <w:r>
              <w:rPr>
                <w:rFonts w:eastAsia="Calibri"/>
                <w:sz w:val="24"/>
                <w:szCs w:val="24"/>
              </w:rPr>
              <w:t xml:space="preserve"> АО «Сахаэнерго»</w:t>
            </w:r>
            <w:r>
              <w:rPr>
                <w:rStyle w:val="961"/>
                <w:bCs/>
                <w:sz w:val="24"/>
                <w:szCs w:val="24"/>
              </w:rPr>
            </w:r>
            <w:r>
              <w:rPr>
                <w:rStyle w:val="961"/>
                <w:bCs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b/>
                <w:bCs/>
                <w:i/>
                <w:sz w:val="24"/>
                <w:szCs w:val="24"/>
                <w:shd w:val="clear" w:color="auto" w:fill="ffff99"/>
              </w:rPr>
            </w:r>
            <w:r>
              <w:rPr>
                <w:rStyle w:val="961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9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даты заключения договора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дней с даты заключения договора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Bdr/>
        <w:spacing/>
        <w:ind/>
        <w:rPr/>
        <w:sectPr>
          <w:headerReference w:type="default" r:id="rId9"/>
          <w:headerReference w:type="even" r:id="rId10"/>
          <w:headerReference w:type="first" r:id="rId11"/>
          <w:footerReference w:type="default" r:id="rId16"/>
          <w:footerReference w:type="first" r:id="rId17"/>
          <w:footnotePr/>
          <w:endnotePr/>
          <w:type w:val="nextPage"/>
          <w:pgSz w:h="16838" w:orient="portrait" w:w="11906"/>
          <w:pgMar w:top="1134" w:right="851" w:bottom="992" w:left="1134" w:header="709" w:footer="709" w:gutter="0"/>
          <w:cols w:num="1" w:sep="0" w:space="1701" w:equalWidth="1"/>
          <w:titlePg/>
        </w:sectPr>
      </w:pPr>
      <w:r/>
      <w:r/>
    </w:p>
    <w:p>
      <w:pPr>
        <w:pStyle w:val="906"/>
        <w:pBdr/>
        <w:spacing/>
        <w:ind w:firstLine="0" w:left="0"/>
        <w:rPr/>
      </w:pPr>
      <w:r>
        <w:t xml:space="preserve">2.2. </w:t>
      </w:r>
      <w:bookmarkStart w:id="41" w:name="_Toc54643709"/>
      <w:r/>
      <w:bookmarkStart w:id="42" w:name="_Toc51339698"/>
      <w:r/>
      <w:bookmarkStart w:id="43" w:name="_Toc54643708"/>
      <w:r/>
      <w:bookmarkStart w:id="44" w:name="_Toc142564690"/>
      <w:r/>
      <w:bookmarkStart w:id="45" w:name="_Toc46743511"/>
      <w:r>
        <w:t xml:space="preserve">Требования к </w:t>
      </w:r>
      <w:bookmarkEnd w:id="45"/>
      <w:r>
        <w:rPr>
          <w:lang w:val="ru-RU"/>
        </w:rPr>
        <w:t xml:space="preserve">качеству услуг</w:t>
      </w:r>
      <w:bookmarkEnd w:id="43"/>
      <w:r/>
      <w:bookmarkEnd w:id="44"/>
      <w:r/>
      <w:r/>
    </w:p>
    <w:p>
      <w:pPr>
        <w:pStyle w:val="903"/>
        <w:keepLines w:val="true"/>
        <w:pBdr/>
        <w:tabs>
          <w:tab w:val="clear" w:leader="none" w:pos="0"/>
        </w:tabs>
        <w:spacing w:after="60" w:before="240"/>
        <w:ind w:firstLine="0" w:left="0"/>
        <w:rPr>
          <w:sz w:val="24"/>
          <w:szCs w:val="24"/>
        </w:rPr>
      </w:pPr>
      <w:r/>
      <w:bookmarkStart w:id="46" w:name="_Toc142564691"/>
      <w:r>
        <w:rPr>
          <w:sz w:val="24"/>
          <w:szCs w:val="24"/>
        </w:rPr>
        <w:t xml:space="preserve">Таблица </w:t>
      </w:r>
      <w:r>
        <w:rPr>
          <w:sz w:val="24"/>
          <w:szCs w:val="24"/>
          <w:lang w:val="ru-RU"/>
        </w:rPr>
        <w:t xml:space="preserve">4</w:t>
      </w:r>
      <w:r>
        <w:rPr>
          <w:sz w:val="24"/>
          <w:szCs w:val="24"/>
        </w:rPr>
        <w:t xml:space="preserve">. Требования к </w:t>
      </w:r>
      <w:bookmarkEnd w:id="42"/>
      <w:r>
        <w:rPr>
          <w:sz w:val="24"/>
          <w:szCs w:val="24"/>
          <w:lang w:val="ru-RU"/>
        </w:rPr>
        <w:t xml:space="preserve">качеству услуг</w:t>
      </w:r>
      <w:bookmarkEnd w:id="41"/>
      <w:r/>
      <w:bookmarkEnd w:id="46"/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widowControl w:val="false"/>
        <w:pBdr/>
        <w:tabs>
          <w:tab w:val="left" w:leader="none" w:pos="426"/>
          <w:tab w:val="clear" w:leader="none" w:pos="708"/>
        </w:tabs>
        <w:spacing w:after="120" w:before="120"/>
        <w:ind/>
        <w:rPr>
          <w:b/>
          <w:bCs/>
          <w:i/>
          <w:sz w:val="24"/>
          <w:szCs w:val="24"/>
          <w:shd w:val="clear" w:color="auto" w:fill="ffff99"/>
        </w:rPr>
      </w:pPr>
      <w:r>
        <w:rPr>
          <w:b/>
          <w:bCs/>
          <w:sz w:val="24"/>
          <w:szCs w:val="24"/>
        </w:rPr>
        <w:t xml:space="preserve">Наименование услуг/этапа услуг</w:t>
      </w:r>
      <w:r>
        <w:rPr>
          <w:b/>
          <w:bCs/>
          <w:i w:val="0"/>
          <w:iCs w:val="0"/>
          <w:sz w:val="24"/>
          <w:szCs w:val="24"/>
          <w:shd w:val="clear" w:color="auto" w:fill="auto"/>
        </w:rPr>
        <w:t xml:space="preserve">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  <w:t xml:space="preserve"> ОКПД2 - 71.20.12.000 Оказание услуг по техническому освидетельствованию (диагностированию) градирни ДЭС пгт. Батагай,  Верхоянских ЭС АО «Сахаэнерго»</w:t>
      </w:r>
      <w:r>
        <w:rPr>
          <w:rFonts w:eastAsia="Calibri"/>
          <w:sz w:val="24"/>
          <w:szCs w:val="24"/>
        </w:rPr>
      </w:r>
      <w:r>
        <w:rPr>
          <w:b/>
          <w:bCs/>
          <w:i/>
          <w:sz w:val="24"/>
          <w:szCs w:val="24"/>
          <w:shd w:val="clear" w:color="auto" w:fill="ffff99"/>
        </w:rPr>
      </w:r>
    </w:p>
    <w:tbl>
      <w:tblPr>
        <w:tblStyle w:val="1245"/>
        <w:tblpPr w:horzAnchor="text" w:tblpX="-5" w:vertAnchor="text" w:tblpY="1" w:leftFromText="180" w:topFromText="0" w:rightFromText="180" w:bottomFromText="0"/>
        <w:tblW w:w="15122" w:type="dxa"/>
        <w:tblInd w:w="108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58"/>
        <w:gridCol w:w="1986"/>
        <w:gridCol w:w="4136"/>
        <w:gridCol w:w="2295"/>
        <w:gridCol w:w="2893"/>
        <w:gridCol w:w="2853"/>
      </w:tblGrid>
      <w:tr>
        <w:trPr/>
        <w:tc>
          <w:tcPr>
            <w:tcBorders/>
            <w:tcW w:w="958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b/>
                <w:bCs/>
                <w:sz w:val="24"/>
                <w:szCs w:val="24"/>
              </w:rPr>
            </w:pPr>
            <w:r/>
            <w:bookmarkStart w:id="47" w:name="OLE_LINK1"/>
            <w:r/>
            <w:bookmarkEnd w:id="47"/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п/п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1986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Наименование параметра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4136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Требование заказчика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gridSpan w:val="2"/>
            <w:tcBorders/>
            <w:tcW w:w="518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Способ подтверждения участником соответствия требованиям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2853" w:type="dxa"/>
            <w:vAlign w:val="center"/>
            <w:vMerge w:val="restart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Предложение участника по характеристикам и параметрам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vMerge w:val="continue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1986" w:type="dxa"/>
            <w:vAlign w:val="center"/>
            <w:vMerge w:val="continue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4136" w:type="dxa"/>
            <w:vAlign w:val="center"/>
            <w:vMerge w:val="continue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2295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Согласие с требованием/ указание характеристик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289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Предоставление подтверждающего документа или иной способ подтверждения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2853" w:type="dxa"/>
            <w:vAlign w:val="center"/>
            <w:vMerge w:val="continue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60" w:before="6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198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2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413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3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295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4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89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5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85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6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0"/>
                <w:numId w:val="4"/>
              </w:numPr>
              <w:pBdr/>
              <w:spacing w:after="60" w:before="60"/>
              <w:ind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Borders/>
            <w:tcW w:w="1416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оказанию услуг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4"/>
              </w:numPr>
              <w:pBdr/>
              <w:spacing w:after="60" w:before="60"/>
              <w:ind w:firstLine="142" w:left="-117"/>
              <w:contextualSpacing w:val="true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5"/>
            <w:tcBorders/>
            <w:tcW w:w="1416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60" w:before="60"/>
              <w:ind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Общие требования к оказанию услуг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spacing w:after="60" w:before="6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413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/>
            </w:pPr>
            <w:r>
              <w:rPr>
                <w:rStyle w:val="961"/>
                <w:rFonts w:eastAsia="Calibri" w:cs="Times New Roman"/>
                <w:b w:val="0"/>
                <w:bCs w:val="0"/>
                <w:i w:val="0"/>
                <w:iCs w:val="0"/>
                <w:sz w:val="24"/>
                <w:szCs w:val="24"/>
                <w:shd w:val="clear" w:color="auto" w:fill="auto"/>
                <w:lang w:val="ru-RU" w:eastAsia="hi-IN" w:bidi="hi-IN"/>
              </w:rPr>
              <w:t xml:space="preserve">Выезд на объект </w:t>
            </w:r>
            <w:r>
              <w:rPr>
                <w:rStyle w:val="961"/>
                <w:rFonts w:eastAsia="Calibri" w:cs="Times New Roman"/>
                <w:b w:val="0"/>
                <w:bCs w:val="0"/>
                <w:i w:val="0"/>
                <w:iCs w:val="0"/>
                <w:sz w:val="24"/>
                <w:szCs w:val="24"/>
                <w:shd w:val="clear" w:color="auto" w:fill="auto"/>
                <w:lang w:val="ru-RU" w:eastAsia="hi-IN" w:bidi="hi-IN"/>
              </w:rPr>
              <w:t xml:space="preserve">Заказчика</w:t>
            </w:r>
            <w:r>
              <w:rPr>
                <w:rStyle w:val="961"/>
                <w:rFonts w:eastAsia="Calibri" w:cs="Times New Roman"/>
                <w:b w:val="0"/>
                <w:bCs w:val="0"/>
                <w:i w:val="0"/>
                <w:iCs w:val="0"/>
                <w:sz w:val="24"/>
                <w:szCs w:val="24"/>
                <w:shd w:val="clear" w:color="auto" w:fill="auto"/>
                <w:lang w:val="ru-RU" w:eastAsia="hi-IN" w:bidi="hi-IN"/>
              </w:rPr>
              <w:t xml:space="preserve"> для проведения технического освидетельствования (диагностирования) осуществляется по заявке </w:t>
            </w:r>
            <w:r>
              <w:rPr>
                <w:rStyle w:val="961"/>
                <w:rFonts w:eastAsia="Calibri" w:cs="Times New Roman"/>
                <w:b w:val="0"/>
                <w:bCs w:val="0"/>
                <w:i w:val="0"/>
                <w:iCs w:val="0"/>
                <w:sz w:val="24"/>
                <w:szCs w:val="24"/>
                <w:shd w:val="clear" w:color="auto" w:fill="auto"/>
                <w:lang w:val="ru-RU" w:eastAsia="hi-IN" w:bidi="hi-IN"/>
              </w:rPr>
              <w:t xml:space="preserve">Исполнителя </w:t>
            </w:r>
            <w:r>
              <w:rPr>
                <w:rStyle w:val="961"/>
                <w:rFonts w:eastAsia="Calibri" w:cs="Times New Roman"/>
                <w:b w:val="0"/>
                <w:bCs w:val="0"/>
                <w:i w:val="0"/>
                <w:iCs w:val="0"/>
                <w:sz w:val="24"/>
                <w:szCs w:val="24"/>
                <w:shd w:val="clear" w:color="auto" w:fill="auto"/>
                <w:lang w:val="ru-RU" w:eastAsia="hi-IN" w:bidi="hi-IN"/>
              </w:rPr>
              <w:t xml:space="preserve">.</w:t>
            </w:r>
            <w:r/>
          </w:p>
          <w:p>
            <w:pPr>
              <w:pStyle w:val="902"/>
              <w:widowControl w:val="false"/>
              <w:pBdr/>
              <w:spacing w:after="0" w:before="0"/>
              <w:ind/>
              <w:jc w:val="left"/>
              <w:rPr/>
            </w:pPr>
            <w:r>
              <w:rPr>
                <w:rStyle w:val="961"/>
                <w:rFonts w:eastAsia="Calibri" w:cs="Times New Roman"/>
                <w:b w:val="0"/>
                <w:bCs w:val="0"/>
                <w:i w:val="0"/>
                <w:iCs w:val="0"/>
                <w:sz w:val="24"/>
                <w:szCs w:val="24"/>
                <w:shd w:val="clear" w:color="auto" w:fill="auto"/>
                <w:lang w:val="ru-RU" w:eastAsia="hi-IN" w:bidi="hi-IN"/>
              </w:rPr>
            </w:r>
            <w:r>
              <w:rPr>
                <w:rStyle w:val="961"/>
                <w:rFonts w:eastAsia="Calibri" w:cs="Times New Roman"/>
                <w:b w:val="0"/>
                <w:bCs w:val="0"/>
                <w:i w:val="0"/>
                <w:iCs w:val="0"/>
                <w:sz w:val="24"/>
                <w:szCs w:val="24"/>
                <w:shd w:val="clear" w:color="auto" w:fill="auto"/>
                <w:lang w:val="ru-RU" w:eastAsia="hi-IN" w:bidi="hi-IN"/>
              </w:rPr>
              <w:t xml:space="preserve">Исполнитель </w:t>
            </w:r>
            <w:r>
              <w:rPr>
                <w:rStyle w:val="961"/>
                <w:rFonts w:eastAsia="Calibri" w:cs="Times New Roman"/>
                <w:b w:val="0"/>
                <w:bCs w:val="0"/>
                <w:i w:val="0"/>
                <w:iCs w:val="0"/>
                <w:sz w:val="24"/>
                <w:szCs w:val="24"/>
                <w:shd w:val="clear" w:color="auto" w:fill="auto"/>
                <w:lang w:val="ru-RU" w:eastAsia="hi-IN" w:bidi="hi-IN"/>
              </w:rPr>
              <w:t xml:space="preserve">обязуется письменно уведомить Заказчика о дате выезда на объект не менее чем за 14 календарных дней.</w:t>
            </w:r>
            <w:r/>
          </w:p>
        </w:tc>
        <w:tc>
          <w:tcPr>
            <w:shd w:val="clear" w:color="auto" w:fill="auto"/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/>
          </w:p>
        </w:tc>
        <w:tc>
          <w:tcPr>
            <w:shd w:val="clear" w:color="auto" w:fill="auto"/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/>
          </w:p>
        </w:tc>
      </w:tr>
      <w:tr>
        <w:trPr/>
        <w:tc>
          <w:tcPr>
            <w:tcBorders>
              <w:top w:val="none" w:color="000000" w:sz="4" w:space="0"/>
            </w:tcBorders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spacing w:after="60" w:before="6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</w:tcBorders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</w:tcBorders>
            <w:tcW w:w="413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 w:firstLine="0" w:left="38"/>
              <w:jc w:val="both"/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Выдача технического заключения по результатам обследования (диагностирования) состояния градирни.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</w:r>
          </w:p>
          <w:p>
            <w:pPr>
              <w:pStyle w:val="902"/>
              <w:widowControl w:val="false"/>
              <w:pBdr/>
              <w:spacing w:after="0" w:before="0"/>
              <w:ind w:firstLine="0" w:left="38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Состав технического заключения: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12"/>
              <w:widowControl w:val="false"/>
              <w:numPr>
                <w:ilvl w:val="0"/>
                <w:numId w:val="12"/>
              </w:numPr>
              <w:pBdr/>
              <w:spacing w:after="0" w:before="0"/>
              <w:ind/>
              <w:contextualSpacing w:val="true"/>
              <w:jc w:val="both"/>
              <w:rPr>
                <w:rFonts w:ascii="Times New Roman" w:hAnsi="Times New Roman" w:cs="Times New Roman"/>
                <w:lang w:val="ru-RU" w:eastAsia="ru-RU" w:bidi="ar-SA"/>
              </w:rPr>
            </w:pPr>
            <w:r>
              <w:rPr>
                <w:rFonts w:cs="Times New Roman"/>
                <w:lang w:val="ru-RU" w:eastAsia="ru-RU" w:bidi="ar-SA"/>
              </w:rPr>
              <w:t xml:space="preserve">Технического отчета по результатам технического обследования (диагностирования) состояния на каждую градирню, с приложением фотоматериалов каждую градирню, выполненных с 4-х сторон;</w:t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</w:p>
          <w:p>
            <w:pPr>
              <w:pStyle w:val="902"/>
              <w:widowControl w:val="false"/>
              <w:pBdr/>
              <w:spacing w:after="0" w:before="0"/>
              <w:ind/>
              <w:jc w:val="both"/>
              <w:rPr>
                <w:rFonts w:ascii="Times New Roman" w:hAnsi="Times New Roman" w:eastAsia="Times New Roman" w:cs="Times New Roman"/>
                <w:lang w:val="ru-RU" w:eastAsia="ru-RU" w:bidi="ar-SA"/>
              </w:rPr>
            </w:pPr>
            <w:r>
              <w:rPr>
                <w:rFonts w:eastAsia="Times New Roman" w:cs="Times New Roman"/>
                <w:lang w:val="ru-RU" w:eastAsia="ru-RU" w:bidi="ar-SA"/>
              </w:rPr>
            </w:r>
            <w:r>
              <w:rPr>
                <w:rFonts w:ascii="Times New Roman" w:hAnsi="Times New Roman" w:eastAsia="Times New Roman" w:cs="Times New Roman"/>
                <w:lang w:val="ru-RU" w:eastAsia="ru-RU" w:bidi="ar-SA"/>
              </w:rPr>
            </w:r>
            <w:r>
              <w:rPr>
                <w:rFonts w:ascii="Times New Roman" w:hAnsi="Times New Roman" w:eastAsia="Times New Roman" w:cs="Times New Roman"/>
                <w:lang w:val="ru-RU" w:eastAsia="ru-RU" w:bidi="ar-SA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</w:tcBorders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</w:tcBorders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</w:tcBorders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spacing w:after="60" w:before="60"/>
              <w:ind w:hanging="1199" w:left="1214"/>
              <w:contextualSpacing w:val="true"/>
              <w:jc w:val="center"/>
              <w:rPr/>
            </w:pPr>
            <w:r/>
            <w:r/>
          </w:p>
        </w:tc>
        <w:tc>
          <w:tcPr>
            <w:shd w:val="clear" w:color="auto" w:fill="auto"/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 w:line="100" w:lineRule="atLeast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Результат оказание услуг должен соответствовать: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902"/>
              <w:widowControl w:val="false"/>
              <w:pBdr/>
              <w:tabs>
                <w:tab w:val="left" w:leader="none" w:pos="459"/>
                <w:tab w:val="clear" w:leader="none" w:pos="708"/>
              </w:tabs>
              <w:spacing w:after="0" w:before="0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- Настоящим техническим требованиям,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 перечню и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 объемам Услуги, являющейся неотъемлемой частью настоящих технических требований (Таблица №2), и условиям договора;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</w:tc>
        <w:tc>
          <w:tcPr>
            <w:shd w:val="clear" w:color="auto" w:fill="auto"/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/>
          </w:p>
        </w:tc>
        <w:tc>
          <w:tcPr>
            <w:shd w:val="clear" w:color="auto" w:fill="auto"/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60" w:before="6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1.1.4.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 w:line="100" w:lineRule="atLeast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Качество оказание услуг Исполнителем должно соответствовать требованиям, предъявляемым к работам соответствующего рода, если иное не предусмотрено законом, иными правовыми актами или договором подряда.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</w:tc>
        <w:tc>
          <w:tcPr>
            <w:shd w:val="clear" w:color="auto" w:fill="auto"/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/>
          </w:p>
        </w:tc>
        <w:tc>
          <w:tcPr>
            <w:shd w:val="clear" w:color="auto" w:fill="auto"/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60" w:before="6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1.1.5.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sz w:val="24"/>
                <w:szCs w:val="24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Исполнитель обязан безвозмездно исправить по требованию Заказчика все выявленные недостатки ухудшившее качество оказание услуги в согласованные сроки.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shd w:val="clear" w:color="auto" w:fill="auto"/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60" w:before="6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1.1.6.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bCs/>
                <w:sz w:val="24"/>
                <w:szCs w:val="24"/>
                <w:lang w:val="ru-RU" w:eastAsia="hi-IN" w:bidi="hi-IN"/>
              </w:rPr>
              <w:t xml:space="preserve">Документацию представить: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902"/>
              <w:widowControl w:val="false"/>
              <w:numPr>
                <w:ilvl w:val="0"/>
                <w:numId w:val="13"/>
              </w:numPr>
              <w:pBdr/>
              <w:spacing w:after="0" w:before="0"/>
              <w:ind w:firstLine="0" w:left="0"/>
              <w:jc w:val="left"/>
              <w:rPr>
                <w:rFonts w:eastAsia="Lucida Sans Unicode"/>
                <w:bCs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bCs/>
                <w:sz w:val="24"/>
                <w:szCs w:val="24"/>
                <w:lang w:val="ru-RU" w:eastAsia="hi-IN" w:bidi="hi-IN"/>
              </w:rPr>
              <w:t xml:space="preserve">В 1 экземпляре на бумажных носителях и 1 экземпляре на CD в электронном виде (текстовые файлы в формате WORD, табличные материалы в формате EXCEL).</w:t>
            </w:r>
            <w:r>
              <w:rPr>
                <w:rFonts w:eastAsia="Lucida Sans Unicode"/>
                <w:bCs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bCs/>
                <w:sz w:val="24"/>
                <w:szCs w:val="24"/>
                <w:lang w:eastAsia="hi-IN" w:bidi="hi-IN"/>
              </w:rPr>
            </w:r>
          </w:p>
          <w:p>
            <w:pPr>
              <w:pStyle w:val="1012"/>
              <w:widowControl w:val="false"/>
              <w:numPr>
                <w:ilvl w:val="0"/>
                <w:numId w:val="13"/>
              </w:numPr>
              <w:pBdr/>
              <w:spacing w:after="0" w:before="0"/>
              <w:ind w:firstLine="360" w:left="0"/>
              <w:contextualSpacing w:val="true"/>
              <w:jc w:val="left"/>
              <w:rPr>
                <w:rFonts w:eastAsia="Lucida Sans Unicode"/>
                <w:lang w:eastAsia="hi-IN" w:bidi="hi-IN"/>
              </w:rPr>
            </w:pPr>
            <w:r>
              <w:rPr>
                <w:rFonts w:eastAsia="Lucida Sans Unicode" w:cs="Times New Roman"/>
                <w:bCs/>
                <w:lang w:val="ru-RU" w:eastAsia="hi-IN" w:bidi="hi-IN"/>
              </w:rPr>
              <w:t xml:space="preserve">Структура и содержание электронной версии документации должны соответствовать бумажному оригиналу.</w:t>
            </w:r>
            <w:r>
              <w:rPr>
                <w:rFonts w:eastAsia="Lucida Sans Unicode"/>
                <w:lang w:eastAsia="hi-IN" w:bidi="hi-IN"/>
              </w:rPr>
            </w:r>
            <w:r>
              <w:rPr>
                <w:rFonts w:eastAsia="Lucida Sans Unicode"/>
                <w:lang w:eastAsia="hi-IN" w:bidi="hi-IN"/>
              </w:rPr>
            </w:r>
          </w:p>
        </w:tc>
        <w:tc>
          <w:tcPr>
            <w:shd w:val="clear" w:color="auto" w:fill="auto"/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/>
          </w:p>
        </w:tc>
        <w:tc>
          <w:tcPr>
            <w:shd w:val="clear" w:color="auto" w:fill="auto"/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4"/>
              </w:numPr>
              <w:pBdr/>
              <w:spacing w:after="60" w:before="6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Borders/>
            <w:tcW w:w="1416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60"/>
              <w:ind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оказанию услуг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tabs>
                <w:tab w:val="left" w:leader="none" w:pos="0"/>
                <w:tab w:val="clear" w:leader="none" w:pos="708"/>
              </w:tabs>
              <w:spacing w:after="60" w:before="60"/>
              <w:ind w:firstLine="15" w:left="0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136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11"/>
              </w:numPr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>
                <w:rFonts w:cs="Times New Roman"/>
                <w:lang w:val="ru-RU" w:eastAsia="ru-RU" w:bidi="ar-SA"/>
              </w:rPr>
            </w:pPr>
            <w:r>
              <w:rPr>
                <w:rFonts w:cs="Times New Roman"/>
                <w:lang w:val="ru-RU" w:eastAsia="ru-RU" w:bidi="ar-SA"/>
              </w:rPr>
              <w:t xml:space="preserve">Федеральный закон №116-ФЗ от 21.07.97г. «О промышленной безопасности опасных производственных объектов» (в действующей редакции 01.09.2025);</w:t>
            </w:r>
            <w:r>
              <w:rPr>
                <w:rFonts w:cs="Times New Roman"/>
                <w:lang w:val="ru-RU" w:eastAsia="ru-RU" w:bidi="ar-SA"/>
              </w:rPr>
            </w:r>
            <w:r>
              <w:rPr>
                <w:rFonts w:cs="Times New Roman"/>
                <w:lang w:val="ru-RU" w:eastAsia="ru-RU" w:bidi="ar-SA"/>
              </w:rPr>
            </w:r>
          </w:p>
          <w:p>
            <w:pPr>
              <w:pStyle w:val="1012"/>
              <w:widowControl w:val="false"/>
              <w:numPr>
                <w:ilvl w:val="2"/>
                <w:numId w:val="11"/>
              </w:numPr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>
                <w:rFonts w:ascii="Times New Roman" w:hAnsi="Times New Roman" w:cs="Times New Roman"/>
                <w:lang w:val="ru-RU" w:eastAsia="ru-RU" w:bidi="ar-SA"/>
              </w:rPr>
            </w:pPr>
            <w:r>
              <w:rPr>
                <w:rFonts w:cs="Times New Roman"/>
                <w:lang w:val="ru-RU" w:eastAsia="ru-RU" w:bidi="ar-SA"/>
              </w:rPr>
              <w:t xml:space="preserve">СТО 70238424.27.100.056-2009 «Дизельные и газопоршневые электростанции. Организация эксплуатации и технического обслуживания. Нормы и требования».</w:t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</w:p>
          <w:p>
            <w:pPr>
              <w:pStyle w:val="1012"/>
              <w:widowControl w:val="false"/>
              <w:numPr>
                <w:ilvl w:val="2"/>
                <w:numId w:val="11"/>
              </w:numPr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>
                <w:rFonts w:ascii="Times New Roman" w:hAnsi="Times New Roman" w:cs="Times New Roman"/>
                <w:lang w:val="ru-RU" w:eastAsia="ru-RU" w:bidi="ar-SA"/>
              </w:rPr>
            </w:pPr>
            <w:r>
              <w:rPr>
                <w:rFonts w:cs="Times New Roman"/>
                <w:lang w:val="ru-RU" w:eastAsia="ru-RU" w:bidi="ar-SA"/>
              </w:rPr>
              <w:t xml:space="preserve">РД 34.22.402-94 «Типовая инструкция по приемке и эксплуатации башенных градирен» 1997г.;</w:t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</w:p>
          <w:p>
            <w:pPr>
              <w:pStyle w:val="1012"/>
              <w:widowControl w:val="false"/>
              <w:numPr>
                <w:ilvl w:val="2"/>
                <w:numId w:val="11"/>
              </w:numPr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>
                <w:rFonts w:ascii="Times New Roman" w:hAnsi="Times New Roman" w:cs="Times New Roman"/>
                <w:lang w:val="ru-RU" w:eastAsia="ru-RU" w:bidi="ar-SA"/>
              </w:rPr>
            </w:pPr>
            <w:r>
              <w:rPr>
                <w:rFonts w:cs="Times New Roman"/>
                <w:lang w:val="ru-RU" w:eastAsia="ru-RU" w:bidi="ar-SA"/>
              </w:rPr>
              <w:t xml:space="preserve">ГОСТ 5264-80. Межгосударственный стандарт. Ручная </w:t>
            </w:r>
            <w:r>
              <w:rPr>
                <w:rFonts w:cs="Times New Roman"/>
                <w:lang w:val="ru-RU" w:eastAsia="ru-RU" w:bidi="ar-SA"/>
              </w:rPr>
              <w:t xml:space="preserve"></w:t>
              <w:tab/>
              <w:t xml:space="preserve">РД 34.22.402-94</w:t>
            </w:r>
            <w:r>
              <w:rPr>
                <w:rFonts w:cs="Times New Roman"/>
                <w:lang w:val="ru-RU" w:eastAsia="ru-RU" w:bidi="ar-SA"/>
              </w:rPr>
              <w:t xml:space="preserve">дуговая сварка. Соединения сварные. Основные типы, конструктивные элементы и размеры. Постановлением Государственного комитета СССР по стандартам от 24.07.80 No 3827 дата введения</w:t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</w:p>
          <w:p>
            <w:pPr>
              <w:pStyle w:val="1012"/>
              <w:widowControl w:val="false"/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>
                <w:rFonts w:cs="Times New Roman"/>
                <w:highlight w:val="none"/>
                <w:lang w:val="ru-RU" w:eastAsia="ru-RU" w:bidi="ar-SA"/>
              </w:rPr>
            </w:pPr>
            <w:r>
              <w:rPr>
                <w:rFonts w:cs="Times New Roman"/>
                <w:lang w:val="ru-RU" w:eastAsia="ru-RU" w:bidi="ar-SA"/>
              </w:rPr>
              <w:t xml:space="preserve">установлена с 01.07.81. Издание (ноябрь 2009 г.) с Изменением No 1, утвержденным в январе 1989 г. (ИУС 4-89), Поправкой (ИУС 9-2009). Взамен ГОСТ 5264-69.</w:t>
            </w:r>
            <w:r>
              <w:rPr>
                <w:rFonts w:cs="Times New Roman"/>
                <w:highlight w:val="none"/>
                <w:lang w:val="ru-RU" w:eastAsia="ru-RU" w:bidi="ar-SA"/>
              </w:rPr>
            </w:r>
            <w:r>
              <w:rPr>
                <w:rFonts w:cs="Times New Roman"/>
                <w:highlight w:val="none"/>
                <w:lang w:val="ru-RU" w:eastAsia="ru-RU" w:bidi="ar-SA"/>
              </w:rPr>
            </w:r>
          </w:p>
          <w:p>
            <w:pPr>
              <w:pStyle w:val="1012"/>
              <w:widowControl w:val="false"/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/>
            </w:pPr>
            <w:r>
              <w:rPr>
                <w:rFonts w:cs="Times New Roman"/>
                <w:lang w:val="ru-RU" w:eastAsia="ru-RU" w:bidi="ar-SA"/>
              </w:rPr>
              <w:t xml:space="preserve">− </w:t>
            </w:r>
            <w:r>
              <w:rPr>
                <w:rFonts w:cs="Times New Roman"/>
                <w:lang w:val="ru-RU" w:eastAsia="ru-RU" w:bidi="ar-SA"/>
              </w:rPr>
              <w:t xml:space="preserve">ГОСТ 16037-80. Соединения сварные стальных трубопроводов. Основные типы,</w:t>
            </w:r>
            <w:r/>
          </w:p>
          <w:p>
            <w:pPr>
              <w:pStyle w:val="1012"/>
              <w:widowControl w:val="false"/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/>
            </w:pPr>
            <w:r>
              <w:rPr>
                <w:rFonts w:cs="Times New Roman"/>
                <w:lang w:val="ru-RU" w:eastAsia="ru-RU" w:bidi="ar-SA"/>
              </w:rPr>
              <w:t xml:space="preserve">конструктивные элементы и размеры (с Изменением No 1).</w:t>
            </w:r>
            <w:r/>
          </w:p>
          <w:p>
            <w:pPr>
              <w:pStyle w:val="1012"/>
              <w:widowControl w:val="false"/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/>
            </w:pPr>
            <w:r>
              <w:rPr>
                <w:rFonts w:cs="Times New Roman"/>
                <w:lang w:val="ru-RU" w:eastAsia="ru-RU" w:bidi="ar-SA"/>
              </w:rPr>
              <w:t xml:space="preserve">− </w:t>
            </w:r>
            <w:r>
              <w:rPr>
                <w:rFonts w:cs="Times New Roman"/>
                <w:lang w:val="ru-RU" w:eastAsia="ru-RU" w:bidi="ar-SA"/>
              </w:rPr>
              <w:t xml:space="preserve">ГОСТ Р ИСО 17637-2014. Контроль неразрушающий. Визуальный контроль</w:t>
            </w:r>
            <w:r/>
          </w:p>
          <w:p>
            <w:pPr>
              <w:pStyle w:val="1012"/>
              <w:widowControl w:val="false"/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/>
            </w:pPr>
            <w:r>
              <w:rPr>
                <w:rFonts w:cs="Times New Roman"/>
                <w:lang w:val="ru-RU" w:eastAsia="ru-RU" w:bidi="ar-SA"/>
              </w:rPr>
              <w:t xml:space="preserve">соединений, выполненных сваркой плавлением.</w:t>
            </w:r>
            <w:r/>
          </w:p>
          <w:p>
            <w:pPr>
              <w:pStyle w:val="1012"/>
              <w:widowControl w:val="false"/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/>
            </w:pPr>
            <w:r>
              <w:rPr>
                <w:rFonts w:cs="Times New Roman"/>
                <w:lang w:val="ru-RU" w:eastAsia="ru-RU" w:bidi="ar-SA"/>
              </w:rPr>
              <w:t xml:space="preserve">− </w:t>
            </w:r>
            <w:r>
              <w:rPr>
                <w:rFonts w:cs="Times New Roman"/>
                <w:lang w:val="ru-RU" w:eastAsia="ru-RU" w:bidi="ar-SA"/>
              </w:rPr>
              <w:t xml:space="preserve">ГОСТ 34347-2017 Сосуды и аппараты стальные сварные. Общие технические</w:t>
            </w:r>
            <w:r/>
          </w:p>
          <w:p>
            <w:pPr>
              <w:pStyle w:val="1012"/>
              <w:widowControl w:val="false"/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/>
            </w:pPr>
            <w:r>
              <w:rPr>
                <w:rFonts w:cs="Times New Roman"/>
                <w:lang w:val="ru-RU" w:eastAsia="ru-RU" w:bidi="ar-SA"/>
              </w:rPr>
              <w:t xml:space="preserve">условия (с Поправкой)</w:t>
            </w:r>
            <w:r/>
          </w:p>
          <w:p>
            <w:pPr>
              <w:pStyle w:val="1012"/>
              <w:widowControl w:val="false"/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/>
            </w:pPr>
            <w:r>
              <w:rPr>
                <w:rFonts w:cs="Times New Roman"/>
                <w:lang w:val="ru-RU" w:eastAsia="ru-RU" w:bidi="ar-SA"/>
              </w:rPr>
              <w:t xml:space="preserve">− </w:t>
            </w:r>
            <w:r>
              <w:rPr>
                <w:rFonts w:cs="Times New Roman"/>
                <w:lang w:val="ru-RU" w:eastAsia="ru-RU" w:bidi="ar-SA"/>
              </w:rPr>
              <w:t xml:space="preserve">ГОСТ Р 55724-2013. Контроль неразрушающий. Соединения сварные. Методы ультразвуковые</w:t>
            </w:r>
            <w:r>
              <w:rPr>
                <w:rFonts w:cs="Times New Roman"/>
                <w:highlight w:val="none"/>
                <w:lang w:val="ru-RU" w:eastAsia="ru-RU" w:bidi="ar-SA"/>
              </w:rPr>
            </w:r>
            <w:r/>
          </w:p>
          <w:p>
            <w:pPr>
              <w:pStyle w:val="1012"/>
              <w:widowControl w:val="false"/>
              <w:numPr>
                <w:ilvl w:val="2"/>
                <w:numId w:val="11"/>
              </w:numPr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>
                <w:rFonts w:ascii="Times New Roman" w:hAnsi="Times New Roman" w:cs="Times New Roman"/>
                <w:lang w:val="ru-RU" w:eastAsia="ru-RU" w:bidi="ar-SA"/>
              </w:rPr>
            </w:pPr>
            <w:r>
              <w:rPr>
                <w:rFonts w:cs="Times New Roman"/>
                <w:lang w:val="ru-RU" w:eastAsia="ru-RU" w:bidi="ar-SA"/>
              </w:rPr>
              <w:t xml:space="preserve">Постановление Правительства РФ от 16.09.2020 N 1477 "О лицензировании деятельности по проведению экспертизы промышленной безопасности" (вместе с "Положением о лицензировании деятельности по проведению экспертизы промышленной безопасности");</w:t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</w:p>
          <w:p>
            <w:pPr>
              <w:pStyle w:val="1012"/>
              <w:widowControl w:val="false"/>
              <w:numPr>
                <w:ilvl w:val="2"/>
                <w:numId w:val="11"/>
              </w:numPr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>
                <w:rFonts w:ascii="Times New Roman" w:hAnsi="Times New Roman" w:cs="Times New Roman"/>
                <w:lang w:val="ru-RU" w:eastAsia="ru-RU" w:bidi="ar-SA"/>
              </w:rPr>
            </w:pPr>
            <w:r>
              <w:rPr>
                <w:rFonts w:cs="Times New Roman"/>
                <w:lang w:val="ru-RU" w:eastAsia="ru-RU" w:bidi="ar-SA"/>
              </w:rPr>
              <w:t xml:space="preserve">Приказ Федеральной службы по экологическому, технологическому и атомному надзору от 20 октября 2020 г. N420 "Об утверждении федеральных норм и правил в области промышленной безопасности "Правила проведения экспертизы промышленной безопасности";</w:t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</w:p>
          <w:p>
            <w:pPr>
              <w:pStyle w:val="1012"/>
              <w:widowControl w:val="false"/>
              <w:numPr>
                <w:ilvl w:val="2"/>
                <w:numId w:val="11"/>
              </w:numPr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>
                <w:rFonts w:ascii="Times New Roman" w:hAnsi="Times New Roman" w:cs="Times New Roman"/>
                <w:lang w:val="ru-RU" w:eastAsia="ru-RU" w:bidi="ar-SA"/>
              </w:rPr>
            </w:pPr>
            <w:r>
              <w:rPr>
                <w:rFonts w:cs="Times New Roman"/>
                <w:lang w:val="ru-RU" w:eastAsia="ru-RU" w:bidi="ar-SA"/>
              </w:rPr>
              <w:t xml:space="preserve">Постановление Правительства РФ от 02.06.2022 N 1009 "Об аттестации экспертов в области промышленной безопасности" (вместе с "Положением об аттестации экспертов в области промышленной безопасности") (в действующей редакции);</w:t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</w:p>
          <w:p>
            <w:pPr>
              <w:pStyle w:val="1012"/>
              <w:widowControl w:val="false"/>
              <w:numPr>
                <w:ilvl w:val="2"/>
                <w:numId w:val="11"/>
              </w:numPr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>
                <w:rFonts w:ascii="Times New Roman" w:hAnsi="Times New Roman" w:cs="Times New Roman"/>
                <w:lang w:val="ru-RU" w:eastAsia="ru-RU" w:bidi="ar-SA"/>
              </w:rPr>
            </w:pPr>
            <w:r>
              <w:rPr>
                <w:rFonts w:cs="Times New Roman"/>
                <w:lang w:val="ru-RU" w:eastAsia="ru-RU" w:bidi="ar-SA"/>
              </w:rPr>
              <w:t xml:space="preserve">Приказ Минэнерго РФ от 04 октября 2022 г. N 1070 "Об утверждении Правил технической эксплуатации электрических станций и сетей Российской Федерации".</w:t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</w:p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 СНиП 12-03-01 «Безопасность труда в строительстве. Часть 1. Общие требования»;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76"/>
              <w:widowControl w:val="false"/>
              <w:pBdr/>
              <w:spacing w:after="0" w:before="0"/>
              <w:ind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 </w:t>
            </w:r>
            <w:hyperlink r:id="rId23" w:tooltip="http://stroy.dbases.ru/Data1/10/10690/index.htm" w:history="1">
              <w:r>
                <w:rPr>
                  <w:rFonts w:eastAsia="Times New Roman" w:cs="Times New Roman"/>
                  <w:sz w:val="24"/>
                  <w:szCs w:val="24"/>
                  <w:lang w:val="ru-RU" w:eastAsia="ru-RU" w:bidi="ar-SA"/>
                </w:rPr>
                <w:t xml:space="preserve">СНиП 12-04-2002</w:t>
              </w:r>
            </w:hyperlink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 «Безопасность труда в строительстве. Часть 2. Строительное производство»;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12"/>
              <w:widowControl w:val="false"/>
              <w:numPr>
                <w:ilvl w:val="2"/>
                <w:numId w:val="11"/>
              </w:numPr>
              <w:pBdr/>
              <w:tabs>
                <w:tab w:val="left" w:leader="none" w:pos="284"/>
                <w:tab w:val="clear" w:leader="none" w:pos="708"/>
              </w:tabs>
              <w:spacing w:after="0" w:before="0"/>
              <w:ind w:firstLine="0" w:left="0"/>
              <w:contextualSpacing w:val="true"/>
              <w:jc w:val="both"/>
              <w:rPr>
                <w:rFonts w:ascii="Times New Roman" w:hAnsi="Times New Roman" w:cs="Times New Roman"/>
                <w:lang w:val="ru-RU" w:eastAsia="ru-RU" w:bidi="ar-SA"/>
              </w:rPr>
            </w:pPr>
            <w:r>
              <w:rPr>
                <w:rFonts w:cs="Times New Roman"/>
                <w:lang w:val="ru-RU" w:eastAsia="ru-RU" w:bidi="ar-SA"/>
              </w:rPr>
              <w:t xml:space="preserve">СП 28.13330.2017 «Защита строительных и ограждающих конструкций от коррозии»(с изменениями №1-4).</w:t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  <w:r>
              <w:rPr>
                <w:rFonts w:ascii="Times New Roman" w:hAnsi="Times New Roman" w:cs="Times New Roman"/>
                <w:lang w:val="ru-RU" w:eastAsia="ru-RU" w:bidi="ar-SA"/>
              </w:rPr>
            </w:r>
          </w:p>
          <w:p>
            <w:pPr>
              <w:pStyle w:val="902"/>
              <w:widowControl w:val="false"/>
              <w:pBdr/>
              <w:spacing w:after="0" w:before="0"/>
              <w:ind/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 w:cs="Times New Roman"/>
                <w:sz w:val="24"/>
                <w:szCs w:val="24"/>
                <w:lang w:val="ru-RU" w:eastAsia="ru-RU" w:bidi="ar-SA"/>
              </w:rPr>
              <w:t xml:space="preserve">Регламент «Допуска подрядных организаций и командированного персонала на объекты АО «Сахаэнерго» ИСМ РГ-00-017.03-23 и другими действующими нормативными документами отрасли.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  <w:p>
            <w:pPr>
              <w:pStyle w:val="902"/>
              <w:widowControl w:val="false"/>
              <w:pBdr/>
              <w:spacing w:after="0" w:before="0"/>
              <w:ind/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Вся полнота ответственности при оказании услуги на объекте за соблюдением норм и правил по технике безопасности и пожарной безопасности возлагается на Исполнителя. Оказание услуги должны осуществляться при соблюдении 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законодательства Российской Федерации об охране труда, а также иных нормативных правовых актов, отраслевых правил и типовых инструкций по охране труда, правил и инструкций по технике безопасности, утвержденных в установленном порядке, государственных станд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артов системы стандартов безопасности труда, правил безопасности, правил устройства и безопасной эксплуатации, инструкций по безопасности, государственных санитарно-эпидемиологических правил и нормативов, гигиенических нормативов, санитарных правил и норм.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  <w:p>
            <w:pPr>
              <w:pStyle w:val="902"/>
              <w:widowControl w:val="false"/>
              <w:pBdr/>
              <w:spacing w:after="0" w:before="0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Ох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рана труда рабочих должна обеспечиваться выдачей необходимых средств индивидуальной защиты (каски, специальная одежда, обувь и др.), выполнением мероприятий по коллективной защите работающих (ограждения, освещение, защитные и предохранительные устройства).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</w:tc>
        <w:tc>
          <w:tcPr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60" w:before="6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1.2.4.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left"/>
              <w:rPr>
                <w:sz w:val="24"/>
                <w:szCs w:val="24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Исполнитель должен быть обеспечен необходимыми инструментами, оборудованиями, приборами, механизмами и средствами индивидуальной защиты согласно характеру работ указанных в Таблице №2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4"/>
              </w:numPr>
              <w:pBdr/>
              <w:spacing w:after="60" w:before="6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Borders/>
            <w:tcW w:w="1416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60"/>
              <w:ind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применяемым при выполнении Услуг оборудованию, материалам, технологиям, программно-аппаратным средствам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spacing w:after="60" w:before="6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 w:line="100" w:lineRule="atLeast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Перечень минимального приборного оснащения для технического диагностирования градирни у Исполнителя :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902"/>
              <w:widowControl w:val="false"/>
              <w:numPr>
                <w:ilvl w:val="0"/>
                <w:numId w:val="24"/>
              </w:numPr>
              <w:pBdr/>
              <w:spacing w:after="0" w:before="0" w:line="100" w:lineRule="atLeast"/>
              <w:ind w:hanging="360" w:left="0"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- Твердомер;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902"/>
              <w:widowControl w:val="false"/>
              <w:numPr>
                <w:ilvl w:val="0"/>
                <w:numId w:val="25"/>
              </w:numPr>
              <w:pBdr/>
              <w:spacing w:after="0" w:before="0" w:line="100" w:lineRule="atLeast"/>
              <w:ind w:hanging="360" w:left="0"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- Толщиномер;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902"/>
              <w:widowControl w:val="false"/>
              <w:numPr>
                <w:ilvl w:val="0"/>
                <w:numId w:val="26"/>
              </w:numPr>
              <w:pBdr/>
              <w:spacing w:after="0" w:before="0" w:line="100" w:lineRule="atLeast"/>
              <w:ind w:hanging="360" w:left="0"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- Комплект для визуально-измерительного контроля;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902"/>
              <w:widowControl w:val="false"/>
              <w:numPr>
                <w:ilvl w:val="0"/>
                <w:numId w:val="27"/>
              </w:numPr>
              <w:pBdr/>
              <w:spacing w:after="0" w:before="0" w:line="100" w:lineRule="atLeast"/>
              <w:ind w:hanging="360" w:left="0"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- Ультразвуковой дефектоскоп;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902"/>
              <w:widowControl w:val="false"/>
              <w:numPr>
                <w:ilvl w:val="0"/>
                <w:numId w:val="28"/>
              </w:numPr>
              <w:pBdr/>
              <w:spacing w:after="0" w:before="0" w:line="100" w:lineRule="atLeast"/>
              <w:ind w:hanging="360" w:left="0"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- Измеритель прочности бетона;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902"/>
              <w:widowControl w:val="false"/>
              <w:numPr>
                <w:ilvl w:val="0"/>
                <w:numId w:val="29"/>
              </w:numPr>
              <w:pBdr/>
              <w:spacing w:after="0" w:before="0" w:line="100" w:lineRule="atLeast"/>
              <w:ind w:hanging="360" w:left="0"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– 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Фотоаппарат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902"/>
              <w:widowControl w:val="false"/>
              <w:numPr>
                <w:ilvl w:val="0"/>
                <w:numId w:val="30"/>
              </w:numPr>
              <w:pBdr/>
              <w:spacing w:after="0" w:before="0" w:line="100" w:lineRule="atLeast"/>
              <w:ind w:hanging="360" w:left="0"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– 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Нивелир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</w:tc>
        <w:tc>
          <w:tcPr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spacing w:after="60" w:before="6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 w:line="100" w:lineRule="atLeast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Применяемые для проведения оказания услуг оборудовании должны иметь соответствующие сертификаты качества, пожарные и санитарно-эпидемиологические сертификаты, технические паспорта и другие документы, удостоверяющие их качество.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</w:tc>
        <w:tc>
          <w:tcPr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4"/>
              </w:numPr>
              <w:pBdr/>
              <w:spacing w:after="60" w:before="6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Borders/>
            <w:tcW w:w="1416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контролю качества услуг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spacing w:after="60" w:before="6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Услуги должны выполняться в соответствии с рабочей и нормативной документацией и должен руководствоваться документами по характеру работ.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</w:tc>
        <w:tc>
          <w:tcPr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4"/>
              </w:numPr>
              <w:pBdr/>
              <w:spacing w:after="60" w:before="6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Borders/>
            <w:tcW w:w="14164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персоналу Исполнителя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spacing w:after="60" w:before="6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Организационно-технические мероприятия по допуску персонала Исполнителя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Допуск персонала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Исполнителя  для оказания услуг должен осуществляться в соответствии с «Регламентом допуска подрядных и сторонних организаций, индивидуальных предпринимателей, командированного персонала для выполнения работ на объектах АО «Сахаэнерго» ИСМ РГ-00-017.03-23.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4"/>
              </w:numPr>
              <w:pBdr/>
              <w:spacing w:after="60" w:before="6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Borders/>
            <w:tcW w:w="1416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/>
              <w:ind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безопасности услуг и охране труда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spacing w:after="60" w:before="6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left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</w:r>
            <w:r>
              <w:rPr>
                <w:b/>
                <w:i/>
                <w:sz w:val="24"/>
                <w:szCs w:val="24"/>
              </w:rPr>
            </w:r>
            <w:r>
              <w:rPr>
                <w:b/>
                <w:i/>
                <w:sz w:val="24"/>
                <w:szCs w:val="24"/>
              </w:rPr>
            </w:r>
          </w:p>
        </w:tc>
        <w:tc>
          <w:tcPr>
            <w:tcBorders/>
            <w:tcW w:w="413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Организация и выполнение ремонтных работ должна проводится в соответствии с требованиями: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76"/>
              <w:widowControl w:val="false"/>
              <w:numPr>
                <w:ilvl w:val="0"/>
                <w:numId w:val="6"/>
              </w:numPr>
              <w:pBdr/>
              <w:tabs>
                <w:tab w:val="left" w:leader="none" w:pos="302"/>
                <w:tab w:val="clear" w:leader="none" w:pos="708"/>
              </w:tabs>
              <w:spacing w:after="0" w:before="0"/>
              <w:ind w:right="128" w:firstLine="0" w:left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Приказ Министерства труда и социальной защиты РФ от 15 декабря 2020 г. N 902н "Об утверждении Правил по охране труда при работе в ограниченных и замкнутых пространствах"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76"/>
              <w:widowControl w:val="false"/>
              <w:numPr>
                <w:ilvl w:val="0"/>
                <w:numId w:val="6"/>
              </w:numPr>
              <w:pBdr/>
              <w:tabs>
                <w:tab w:val="left" w:leader="none" w:pos="302"/>
                <w:tab w:val="clear" w:leader="none" w:pos="708"/>
              </w:tabs>
              <w:spacing w:after="0" w:before="0"/>
              <w:ind w:right="128" w:firstLine="0" w:left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Приказ Министерства труда и социальной защиты РФ от 16 ноября 2020 г. N 782н об утверждении Правил по охране труда при работе на высоте"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76"/>
              <w:widowControl w:val="false"/>
              <w:numPr>
                <w:ilvl w:val="0"/>
                <w:numId w:val="6"/>
              </w:numPr>
              <w:pBdr/>
              <w:tabs>
                <w:tab w:val="left" w:leader="none" w:pos="302"/>
                <w:tab w:val="clear" w:leader="none" w:pos="708"/>
              </w:tabs>
              <w:spacing w:after="0" w:before="0"/>
              <w:ind w:right="128" w:firstLine="0" w:left="0"/>
              <w:jc w:val="both"/>
              <w:rPr>
                <w:sz w:val="24"/>
                <w:szCs w:val="24"/>
              </w:rPr>
            </w:pPr>
            <w:r>
              <w:rPr>
                <w:rFonts w:eastAsia="Arial Unicode MS" w:cs="Times New Roman"/>
                <w:sz w:val="24"/>
                <w:szCs w:val="24"/>
                <w:lang w:val="ru-RU" w:eastAsia="ru-RU" w:bidi="ar-SA"/>
              </w:rPr>
              <w:t xml:space="preserve">Регламентом «Допуска подрядных организаций и командированного персонала на объекты АО «Сахаэнерго» ИСМ РГ-00-017.03-23.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spacing w:after="60" w:before="6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При 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оказании услуг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Исполнителю необходимо: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2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 обеспечить безопасность, собственного персонала при проведении диагностирования;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2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 нести ответственность за сохранность оборудования, механизмов, средств, систем, конструкций, сооружений и транспортных приспособлений Заказчика;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0"/>
                <w:numId w:val="4"/>
              </w:numPr>
              <w:pBdr/>
              <w:spacing w:after="60" w:before="60"/>
              <w:ind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Borders/>
            <w:tcW w:w="1416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Требования к результатам услуг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1"/>
                <w:numId w:val="4"/>
              </w:numPr>
              <w:pBdr/>
              <w:spacing w:after="60" w:before="6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Borders/>
            <w:tcW w:w="1416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60"/>
              <w:ind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Общие требования к результатам услуг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spacing w:after="60" w:before="6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Результат оказание услуг должен соответствовать перечню и объемам выполняемых Услуг (таблица №2) настоящих технических требований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/>
            <w:tcW w:w="2853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12"/>
              <w:widowControl w:val="false"/>
              <w:numPr>
                <w:ilvl w:val="2"/>
                <w:numId w:val="4"/>
              </w:numPr>
              <w:pBdr/>
              <w:spacing w:after="60" w:before="6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98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 w:right="57" w:firstLine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/>
            <w:tcW w:w="4136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 w:line="100" w:lineRule="atLeast"/>
              <w:ind w:firstLine="5"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Исполнитель должен провести диагностирование с выездом на объект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902"/>
              <w:widowControl w:val="false"/>
              <w:pBdr/>
              <w:tabs>
                <w:tab w:val="left" w:leader="none" w:pos="432"/>
                <w:tab w:val="left" w:leader="none" w:pos="459"/>
                <w:tab w:val="clear" w:leader="none" w:pos="708"/>
              </w:tabs>
              <w:spacing w:after="0" w:before="0"/>
              <w:ind/>
              <w:jc w:val="both"/>
              <w:rPr>
                <w:bCs/>
                <w:sz w:val="24"/>
                <w:szCs w:val="24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Исполнитель обязан безвозмездно исправить по требованию Заказчика все выявленные недостатки ухудшившее качество оказание услуг в согласованные сроки.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/>
            <w:tcW w:w="2853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902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6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60" w:before="6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/>
            <w:tcW w:w="1416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60" w:before="60"/>
              <w:ind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Прочие требования к выполняемым Услугам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60" w:before="6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3.1.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1986" w:type="dxa"/>
            <w:vAlign w:val="center"/>
            <w:textDirection w:val="lrTb"/>
            <w:noWrap w:val="false"/>
          </w:tcPr>
          <w:p>
            <w:pPr>
              <w:pStyle w:val="1022"/>
              <w:keepNext w:val="false"/>
              <w:widowControl w:val="false"/>
              <w:numPr>
                <w:ilvl w:val="0"/>
                <w:numId w:val="0"/>
              </w:numPr>
              <w:pBdr/>
              <w:spacing w:after="60" w:before="0"/>
              <w:ind w:firstLine="0" w:left="0"/>
              <w:jc w:val="left"/>
              <w:outlineLvl w:val="2"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 w:bidi="ar-SA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 w:bidi="ar-SA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 w:bidi="ar-SA"/>
              </w:rPr>
            </w:r>
          </w:p>
        </w:tc>
        <w:tc>
          <w:tcPr>
            <w:tcBorders/>
            <w:tcW w:w="413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При выполнении услуг необходимо выполнять требования законодательства в области охраны окружающей среды.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295" w:type="dxa"/>
            <w:textDirection w:val="lrTb"/>
            <w:noWrap w:val="false"/>
          </w:tcPr>
          <w:p>
            <w:pPr>
              <w:pStyle w:val="902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289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/>
            <w:tcW w:w="285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/>
          </w:p>
        </w:tc>
      </w:tr>
    </w:tbl>
    <w:p>
      <w:pPr>
        <w:pStyle w:val="1012"/>
        <w:pBdr/>
        <w:tabs>
          <w:tab w:val="clear" w:leader="none" w:pos="708"/>
          <w:tab w:val="left" w:leader="none" w:pos="1276"/>
        </w:tabs>
        <w:spacing w:line="276" w:lineRule="auto"/>
        <w:ind w:firstLine="567" w:left="0"/>
        <w:jc w:val="center"/>
        <w:rPr>
          <w:rFonts w:eastAsia="Calibri" w:eastAsiaTheme="minorHAnsi"/>
          <w:b/>
        </w:rPr>
      </w:pPr>
      <w:r>
        <w:br w:type="textWrapping" w:clear="all"/>
      </w:r>
      <w:r>
        <w:rPr>
          <w:rFonts w:eastAsia="Calibri" w:eastAsiaTheme="minorHAnsi"/>
          <w:b/>
        </w:rPr>
        <w:t xml:space="preserve">3. Требования к участнику закупки:</w:t>
      </w:r>
      <w:r>
        <w:rPr>
          <w:rFonts w:eastAsia="Calibri" w:eastAsiaTheme="minorHAnsi"/>
          <w:b/>
        </w:rPr>
      </w:r>
      <w:r>
        <w:rPr>
          <w:rFonts w:eastAsia="Calibri" w:eastAsiaTheme="minorHAnsi"/>
          <w:b/>
        </w:rPr>
      </w:r>
    </w:p>
    <w:p>
      <w:pPr>
        <w:pStyle w:val="1012"/>
        <w:pBdr/>
        <w:tabs>
          <w:tab w:val="clear" w:leader="none" w:pos="708"/>
          <w:tab w:val="left" w:leader="none" w:pos="1276"/>
        </w:tabs>
        <w:spacing w:line="276" w:lineRule="auto"/>
        <w:ind w:firstLine="567" w:left="0"/>
        <w:jc w:val="both"/>
        <w:rPr>
          <w:rFonts w:eastAsia="Calibri" w:eastAsiaTheme="minorHAnsi"/>
          <w:b/>
        </w:rPr>
      </w:pPr>
      <w:r>
        <w:rPr>
          <w:rFonts w:eastAsia="Calibri" w:eastAsiaTheme="minorHAnsi"/>
          <w:b/>
        </w:rPr>
      </w:r>
      <w:r>
        <w:rPr>
          <w:rFonts w:eastAsia="Calibri" w:eastAsiaTheme="minorHAnsi"/>
          <w:b/>
        </w:rPr>
      </w:r>
      <w:r>
        <w:rPr>
          <w:rFonts w:eastAsia="Calibri" w:eastAsiaTheme="minorHAnsi"/>
          <w:b/>
        </w:rPr>
      </w:r>
    </w:p>
    <w:p>
      <w:pPr>
        <w:pStyle w:val="902"/>
        <w:widowControl w:val="false"/>
        <w:pBdr/>
        <w:tabs>
          <w:tab w:val="clear" w:leader="none" w:pos="708"/>
          <w:tab w:val="left" w:leader="none" w:pos="1134"/>
        </w:tabs>
        <w:spacing/>
        <w:ind w:firstLine="567"/>
        <w:jc w:val="both"/>
        <w:rPr/>
      </w:pPr>
      <w:r>
        <w:rPr>
          <w:sz w:val="24"/>
          <w:szCs w:val="24"/>
        </w:rPr>
        <w:t xml:space="preserve">3.1. Участник закупки должен быть членом саморегулируемой организации, основанной на членстве лиц выполняющих инженерные изыскания. (согласно Постановления Правительства РФ от 19.01.2006 №20 (ред. от 15.09.2020).</w:t>
      </w:r>
      <w:r>
        <w:rPr>
          <w:sz w:val="24"/>
          <w:szCs w:val="24"/>
        </w:rPr>
      </w:r>
      <w:r/>
    </w:p>
    <w:p>
      <w:pPr>
        <w:pStyle w:val="902"/>
        <w:widowControl w:val="false"/>
        <w:pBdr/>
        <w:tabs>
          <w:tab w:val="clear" w:leader="none" w:pos="708"/>
          <w:tab w:val="left" w:leader="none" w:pos="1134"/>
        </w:tabs>
        <w:spacing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Оценки соответствия уровня ответственности участника осуществляется по общедоступному ресурсу «Единый реестр членов СРО» (http://nopriz.ru/nreesters/elektronnyy-reestr/).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3"/>
        <w:keepLines w:val="true"/>
        <w:pBdr/>
        <w:spacing/>
        <w:ind w:hanging="357" w:left="357"/>
        <w:jc w:val="center"/>
        <w:rPr>
          <w:iCs/>
          <w:caps/>
        </w:rPr>
      </w:pPr>
      <w:r/>
      <w:bookmarkStart w:id="51" w:name="_Toc46743519"/>
      <w:r/>
      <w:bookmarkStart w:id="52" w:name="_Toc51339699"/>
      <w:r/>
      <w:bookmarkEnd w:id="51"/>
      <w:r/>
      <w:bookmarkEnd w:id="52"/>
      <w:r>
        <w:rPr>
          <w:iCs/>
          <w:lang w:val="ru-RU"/>
        </w:rPr>
        <w:t xml:space="preserve">3. Приложения</w:t>
      </w:r>
      <w:r>
        <w:rPr>
          <w:iCs/>
          <w:caps/>
        </w:rPr>
      </w:r>
      <w:r>
        <w:rPr>
          <w:iCs/>
          <w:caps/>
        </w:rPr>
      </w:r>
    </w:p>
    <w:p>
      <w:pPr>
        <w:pStyle w:val="902"/>
        <w:widowControl w:val="false"/>
        <w:pBdr/>
        <w:tabs>
          <w:tab w:val="left" w:leader="none" w:pos="426"/>
          <w:tab w:val="clear" w:leader="none" w:pos="708"/>
        </w:tabs>
        <w:spacing w:after="0" w:before="60"/>
        <w:ind/>
        <w:jc w:val="both"/>
        <w:rPr>
          <w:rStyle w:val="961"/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rStyle w:val="961"/>
          <w:bCs/>
          <w:sz w:val="24"/>
          <w:szCs w:val="24"/>
        </w:rPr>
      </w:r>
      <w:r>
        <w:rPr>
          <w:rStyle w:val="961"/>
          <w:bCs/>
          <w:sz w:val="24"/>
          <w:szCs w:val="24"/>
        </w:rPr>
      </w:r>
    </w:p>
    <w:p>
      <w:pPr>
        <w:pStyle w:val="902"/>
        <w:widowControl w:val="false"/>
        <w:pBdr/>
        <w:tabs>
          <w:tab w:val="left" w:leader="none" w:pos="426"/>
          <w:tab w:val="clear" w:leader="none" w:pos="708"/>
        </w:tabs>
        <w:spacing w:after="0" w:before="60"/>
        <w:ind/>
        <w:rPr>
          <w:sz w:val="24"/>
          <w:szCs w:val="24"/>
        </w:rPr>
      </w:pPr>
      <w:r>
        <w:rPr>
          <w:sz w:val="24"/>
          <w:szCs w:val="24"/>
        </w:rPr>
        <w:t xml:space="preserve">Приложение №1: Перечень объектов подлежащих</w:t>
      </w:r>
      <w:r>
        <w:rPr>
          <w:rFonts w:eastAsia="Calibri"/>
          <w:b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к техническому освидетельствованию (диагностированию).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widowControl w:val="false"/>
        <w:pBdr/>
        <w:tabs>
          <w:tab w:val="left" w:leader="none" w:pos="426"/>
          <w:tab w:val="clear" w:leader="none" w:pos="708"/>
        </w:tabs>
        <w:spacing w:after="0" w:before="60"/>
        <w:ind/>
        <w:rPr>
          <w:sz w:val="24"/>
          <w:szCs w:val="24"/>
        </w:rPr>
      </w:pPr>
      <w:r>
        <w:rPr>
          <w:sz w:val="24"/>
          <w:szCs w:val="24"/>
        </w:rPr>
        <w:t xml:space="preserve">Приложение №2  </w:t>
      </w:r>
      <w:r>
        <w:rPr>
          <w:rFonts w:eastAsia="Times New Roman" w:cs="Times New Roman"/>
          <w:sz w:val="24"/>
          <w:szCs w:val="24"/>
          <w:lang w:val="ru-RU" w:eastAsia="ru-RU" w:bidi="ar-SA"/>
        </w:rPr>
        <w:t xml:space="preserve">Регламент допуска подрядных и сторонних организаций, индивидуальных предпринимателей, командированного персонала для выполнения работ на объектах АО «Сахаэнерго» ИСМ РГ-00-017.03-23.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pBdr/>
        <w:tabs>
          <w:tab w:val="clear" w:leader="none" w:pos="708"/>
          <w:tab w:val="left" w:leader="none" w:pos="5241"/>
        </w:tabs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pBdr/>
        <w:tabs>
          <w:tab w:val="clear" w:leader="none" w:pos="708"/>
          <w:tab w:val="left" w:leader="none" w:pos="5241"/>
        </w:tabs>
        <w:spacing/>
        <w:ind/>
        <w:rPr>
          <w:sz w:val="24"/>
          <w:szCs w:val="24"/>
        </w:rPr>
        <w:sectPr>
          <w:headerReference w:type="default" r:id="rId12"/>
          <w:headerReference w:type="first" r:id="rId13"/>
          <w:footerReference w:type="default" r:id="rId18"/>
          <w:footerReference w:type="first" r:id="rId19"/>
          <w:footnotePr/>
          <w:endnotePr/>
          <w:type w:val="nextPage"/>
          <w:pgSz w:h="11906" w:orient="landscape" w:w="16838"/>
          <w:pgMar w:top="766" w:right="720" w:bottom="766" w:left="737" w:header="709" w:footer="709" w:gutter="0"/>
          <w:cols w:num="1" w:sep="0" w:space="1701" w:equalWidth="1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widowControl w:val="false"/>
        <w:pBdr/>
        <w:tabs>
          <w:tab w:val="left" w:leader="none" w:pos="426"/>
          <w:tab w:val="clear" w:leader="none" w:pos="708"/>
        </w:tabs>
        <w:spacing w:after="0" w:before="60"/>
        <w:ind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2"/>
        <w:widowControl w:val="false"/>
        <w:pBdr/>
        <w:tabs>
          <w:tab w:val="left" w:leader="none" w:pos="426"/>
          <w:tab w:val="clear" w:leader="none" w:pos="708"/>
        </w:tabs>
        <w:spacing w:after="0" w:before="60"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объектов подлежащих к техническому освидетельствованию (диагностированию)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02"/>
        <w:pBdr/>
        <w:spacing/>
        <w:ind/>
        <w:rPr/>
      </w:pPr>
      <w:r/>
      <w:r/>
    </w:p>
    <w:tbl>
      <w:tblPr>
        <w:tblW w:w="10473" w:type="dxa"/>
        <w:tblInd w:w="55" w:type="dxa"/>
        <w:tblBorders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473"/>
        <w:gridCol w:w="2065"/>
        <w:gridCol w:w="2220"/>
        <w:gridCol w:w="1444"/>
        <w:gridCol w:w="1112"/>
        <w:gridCol w:w="732"/>
        <w:gridCol w:w="2426"/>
      </w:tblGrid>
      <w:tr>
        <w:trPr>
          <w:trHeight w:val="28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7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</w:t>
            </w:r>
            <w:r>
              <w:rPr>
                <w:b/>
                <w:sz w:val="22"/>
                <w:szCs w:val="22"/>
              </w:rPr>
              <w:t xml:space="preserve">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065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филиала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20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ДЭС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и тип емкости (наземный / подземный, вертикальный / горизонтальный, стальной)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112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Год ввода в эксплуатацию (гггг)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Объём V, куб.м.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Местонахождение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34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47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65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20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12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39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473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65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Верхоянский ЭС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20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пгт. Батагай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44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Градирня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12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32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6" w:type="dxa"/>
            <w:vAlign w:val="center"/>
            <w:textDirection w:val="lrTb"/>
            <w:noWrap w:val="false"/>
          </w:tcPr>
          <w:p>
            <w:pPr>
              <w:pStyle w:val="902"/>
              <w:widowControl w:val="false"/>
              <w:pBdr/>
              <w:tabs>
                <w:tab w:val="clear" w:leader="none" w:pos="708"/>
              </w:tabs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РС(Я) Верхоянский район, пгт. </w:t>
            </w:r>
            <w:r>
              <w:rPr>
                <w:sz w:val="22"/>
                <w:szCs w:val="22"/>
              </w:rPr>
              <w:t xml:space="preserve">Батагай</w:t>
            </w:r>
            <w:r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902"/>
        <w:pBdr/>
        <w:spacing/>
        <w:ind/>
        <w:rPr/>
      </w:pPr>
      <w:r/>
      <w:r/>
    </w:p>
    <w:sectPr>
      <w:headerReference w:type="default" r:id="rId14"/>
      <w:headerReference w:type="first" r:id="rId15"/>
      <w:footerReference w:type="default" r:id="rId20"/>
      <w:footerReference w:type="first" r:id="rId21"/>
      <w:footnotePr/>
      <w:endnotePr/>
      <w:type w:val="nextPage"/>
      <w:pgSz w:h="16838" w:orient="portrait" w:w="11906"/>
      <w:pgMar w:top="720" w:right="720" w:bottom="737" w:left="720" w:header="624" w:footer="680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</w:font>
  <w:font w:name="Symbol">
    <w:panose1 w:val="05010000000000000000"/>
  </w:font>
  <w:font w:name="Lucida Sans Unicode">
    <w:panose1 w:val="020B0603030804020204"/>
  </w:font>
  <w:font w:name="Calibri Light (Заголовки)">
    <w:panose1 w:val="020F0502020204030204"/>
  </w:font>
  <w:font w:name="Verdana">
    <w:panose1 w:val="020B0604030504040204"/>
  </w:font>
  <w:font w:name="Liberation Sans">
    <w:panose1 w:val="020B0604020202020204"/>
  </w:font>
  <w:font w:name="Lucida Sans">
    <w:panose1 w:val="020B0603030804020204"/>
  </w:font>
  <w:font w:name="Wingdings">
    <w:panose1 w:val="05010000000000000000"/>
  </w:font>
  <w:font w:name="Arial">
    <w:panose1 w:val="020B0604020202020204"/>
  </w:font>
  <w:font w:name="Cambria">
    <w:panose1 w:val="02040803050406030204"/>
  </w:font>
  <w:font w:name="Calibri">
    <w:panose1 w:val="020F0502020204030204"/>
  </w:font>
  <w:font w:name="Tahoma">
    <w:panose1 w:val="020B0604030504040204"/>
  </w:font>
  <w:font w:name="Lohit Devanagari">
    <w:panose1 w:val="020B0600000000000000"/>
  </w:font>
  <w:font w:name="OpenSymbol">
    <w:panose1 w:val="05010000000000000000"/>
  </w:font>
  <w:font w:name="Courier New">
    <w:panose1 w:val="02070309020205020404"/>
  </w:font>
  <w:font w:name="Times New Roman">
    <w:panose1 w:val="02020603050405020304"/>
  </w:font>
  <w:font w:name="Microsoft YaHei">
    <w:panose1 w:val="020B0503020204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1"/>
      <w:pBdr/>
      <w:spacing/>
      <w:ind/>
      <w:rPr/>
    </w:pPr>
    <w:r/>
    <w:r/>
  </w:p>
  <w:p>
    <w:pPr>
      <w:pStyle w:val="991"/>
      <w:pBdr/>
      <w:spacing/>
      <w:ind/>
      <w:jc w:val="right"/>
      <w:rPr/>
    </w:pPr>
    <w:r>
      <w:fldChar w:fldCharType="begin"/>
    </w:r>
    <w:r>
      <w:instrText xml:space="preserve"> PAGE </w:instrText>
    </w:r>
    <w:r>
      <w:fldChar w:fldCharType="separate"/>
    </w:r>
    <w:r>
      <w:t xml:space="preserve">6</w:t>
    </w:r>
    <w:r>
      <w:fldChar w:fldCharType="end"/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1"/>
      <w:pBdr/>
      <w:spacing/>
      <w:ind/>
      <w:jc w:val="right"/>
      <w:rPr/>
    </w:pPr>
    <w:r>
      <w:fldChar w:fldCharType="begin"/>
    </w:r>
    <w:r>
      <w:instrText xml:space="preserve"> PAGE </w:instrText>
    </w:r>
    <w:r>
      <w:fldChar w:fldCharType="separate"/>
    </w:r>
    <w:r>
      <w:t xml:space="preserve">1</w:t>
    </w:r>
    <w:r>
      <w:fldChar w:fldCharType="end"/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1"/>
      <w:pBdr/>
      <w:spacing/>
      <w:ind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15</w:t>
    </w:r>
    <w:r>
      <w:rPr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/>
    <w:r/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1"/>
      <w:pBdr/>
      <w:spacing/>
      <w:ind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16</w:t>
    </w:r>
    <w:r>
      <w:rPr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9"/>
      <w:pBdr/>
      <w:spacing/>
      <w:ind/>
      <w:jc w:val="center"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9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989"/>
                            <w:pBdr/>
                            <w:spacing/>
                            <w:ind/>
                            <w:rPr>
                              <w:rStyle w:val="933"/>
                            </w:rPr>
                          </w:pPr>
                          <w:r>
                            <w:rPr>
                              <w:rStyle w:val="933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933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933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933"/>
                              <w:color w:val="000000"/>
                            </w:rPr>
                            <w:t xml:space="preserve">0</w:t>
                          </w:r>
                          <w:r>
                            <w:rPr>
                              <w:rStyle w:val="933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933"/>
                            </w:rPr>
                          </w:r>
                          <w:r>
                            <w:rPr>
                              <w:rStyle w:val="933"/>
                            </w:rPr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1" type="#_x0000_t1" style="position:absolute;z-index:-2;o:allowoverlap:true;o:allowincell:false;mso-position-horizontal-relative:margin;mso-position-horizontal:center;mso-position-vertical-relative:text;margin-top:0.05pt;mso-position-vertical:absolute;width:1.15pt;height:1.15pt;mso-wrap-distance-left:0.00pt;mso-wrap-distance-top:0.00pt;mso-wrap-distance-right:0.00pt;mso-wrap-distance-bottom:0.00pt;v-text-anchor:top;visibility:visible;" filled="f" stroked="f" strokeweight="0.00pt">
              <w10:wrap type="square"/>
              <v:textbox inset="0,0,0,0">
                <w:txbxContent>
                  <w:p>
                    <w:pPr>
                      <w:pStyle w:val="989"/>
                      <w:pBdr/>
                      <w:spacing/>
                      <w:ind/>
                      <w:rPr>
                        <w:rStyle w:val="933"/>
                      </w:rPr>
                    </w:pPr>
                    <w:r>
                      <w:rPr>
                        <w:rStyle w:val="933"/>
                        <w:color w:val="000000"/>
                      </w:rPr>
                      <w:fldChar w:fldCharType="begin"/>
                    </w:r>
                    <w:r>
                      <w:rPr>
                        <w:rStyle w:val="933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933"/>
                        <w:color w:val="000000"/>
                      </w:rPr>
                      <w:fldChar w:fldCharType="separate"/>
                    </w:r>
                    <w:r>
                      <w:rPr>
                        <w:rStyle w:val="933"/>
                        <w:color w:val="000000"/>
                      </w:rPr>
                      <w:t xml:space="preserve">0</w:t>
                    </w:r>
                    <w:r>
                      <w:rPr>
                        <w:rStyle w:val="933"/>
                        <w:color w:val="000000"/>
                      </w:rPr>
                      <w:fldChar w:fldCharType="end"/>
                    </w:r>
                    <w:r>
                      <w:rPr>
                        <w:rStyle w:val="933"/>
                      </w:rPr>
                    </w:r>
                    <w:r>
                      <w:rPr>
                        <w:rStyle w:val="933"/>
                      </w:rPr>
                    </w:r>
                  </w:p>
                </w:txbxContent>
              </v:textbox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9"/>
      <w:pBdr/>
      <w:spacing/>
      <w:ind/>
      <w:jc w:val="center"/>
      <w:rPr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2"/>
      <w:pBdr/>
      <w:spacing/>
      <w:ind/>
      <w:rPr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2"/>
      <w:pBdr/>
      <w:spacing/>
      <w:ind/>
      <w:rPr/>
    </w:pPr>
    <w:r/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pStyle w:val="985"/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357"/>
        </w:tabs>
        <w:spacing/>
        <w:ind w:firstLine="0" w:left="0"/>
      </w:pPr>
      <w:pStyle w:val="986"/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357"/>
        </w:tabs>
        <w:spacing/>
        <w:ind w:firstLine="0" w:left="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357"/>
        </w:tabs>
        <w:spacing/>
        <w:ind w:firstLine="0" w:left="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2520"/>
        </w:tabs>
        <w:spacing/>
        <w:ind w:firstLine="0" w:left="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357"/>
        </w:tabs>
        <w:spacing/>
        <w:ind w:firstLine="0" w:left="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357"/>
        </w:tabs>
        <w:spacing/>
        <w:ind w:firstLine="0" w:left="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357"/>
        </w:tabs>
        <w:spacing/>
        <w:ind w:firstLine="0" w:left="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357"/>
        </w:tabs>
        <w:spacing/>
        <w:ind w:firstLine="0" w:left="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5038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32" w:left="432"/>
      </w:pPr>
      <w:rPr>
        <w:b/>
        <w:bCs/>
        <w:i w:val="0"/>
        <w:iCs/>
        <w:sz w:val="24"/>
        <w:szCs w:val="24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504" w:left="1224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648" w:left="1728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440" w:left="432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1134" w:left="1134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1134" w:left="1134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1134" w:left="1134"/>
      </w:pPr>
      <w:rPr/>
      <w:start w:val="1"/>
      <w:suff w:val="tab"/>
    </w:lvl>
    <w:lvl w:ilvl="3">
      <w:isLgl w:val="false"/>
      <w:lvlJc w:val="left"/>
      <w:lvlText w:val="(%4)"/>
      <w:numFmt w:val="russianLower"/>
      <w:pPr>
        <w:pBdr/>
        <w:tabs>
          <w:tab w:val="num" w:leader="none" w:pos="0"/>
        </w:tabs>
        <w:spacing/>
        <w:ind w:hanging="567" w:left="1985"/>
      </w:pPr>
      <w:pStyle w:val="1025"/>
      <w:rPr/>
      <w:start w:val="1"/>
      <w:suff w:val="tab"/>
    </w:lvl>
    <w:lvl w:ilvl="4">
      <w:isLgl w:val="false"/>
      <w:lvlJc w:val="left"/>
      <w:lvlText w:val="–"/>
      <w:numFmt w:val="bullet"/>
      <w:pPr>
        <w:pBdr/>
        <w:tabs>
          <w:tab w:val="num" w:leader="none" w:pos="0"/>
        </w:tabs>
        <w:spacing/>
        <w:ind w:hanging="567" w:left="2268"/>
      </w:pPr>
      <w:pStyle w:val="1026"/>
      <w:rPr>
        <w:rFonts w:hint="default" w:ascii="Times New Roman" w:hAnsi="Times New Roman" w:cs="Times New Roman"/>
      </w:rPr>
      <w:start w:val="1"/>
      <w:suff w:val="tab"/>
    </w:lvl>
    <w:lvl w:ilvl="5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1134"/>
      </w:pPr>
      <w:pStyle w:val="1027"/>
      <w:rPr/>
      <w:start w:val="1"/>
      <w:suff w:val="nothing"/>
    </w:lvl>
    <w:lvl w:ilvl="6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1701"/>
      </w:pPr>
      <w:rPr/>
      <w:start w:val="1"/>
      <w:suff w:val="nothing"/>
    </w:lvl>
    <w:lvl w:ilvl="7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8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1134"/>
      </w:pPr>
      <w:rPr/>
      <w:start w:val="1"/>
      <w:suff w:val="nothing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360"/>
      </w:pPr>
      <w:rPr>
        <w:b/>
        <w:bCs w:val="0"/>
        <w:sz w:val="24"/>
        <w:szCs w:val="24"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32" w:left="792"/>
      </w:pPr>
      <w:rPr>
        <w:b w:val="0"/>
        <w:bCs/>
        <w:sz w:val="24"/>
        <w:szCs w:val="24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504" w:left="1214"/>
      </w:pPr>
      <w:rPr>
        <w:b w:val="0"/>
        <w:sz w:val="24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648" w:left="1728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440" w:left="432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32" w:left="792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504" w:left="1224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648" w:left="1728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440" w:left="432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783"/>
      </w:pPr>
      <w:rPr>
        <w:rFonts w:hint="default" w:ascii="Symbol" w:hAnsi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1503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2223"/>
      </w:pPr>
      <w:rPr>
        <w:rFonts w:hint="default" w:ascii="Wingdings" w:hAnsi="Wingdings" w:cs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2943"/>
      </w:pPr>
      <w:rPr>
        <w:rFonts w:hint="default" w:ascii="Symbol" w:hAnsi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3663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4383"/>
      </w:pPr>
      <w:rPr>
        <w:rFonts w:hint="default" w:ascii="Wingdings" w:hAnsi="Wingdings" w:cs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5103"/>
      </w:pPr>
      <w:rPr>
        <w:rFonts w:hint="default" w:ascii="Symbol" w:hAnsi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5823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6543"/>
      </w:pPr>
      <w:rPr>
        <w:rFonts w:hint="default" w:ascii="Wingdings" w:hAnsi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32" w:left="792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504" w:left="1224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648" w:left="1728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440" w:left="432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1.%2"/>
      <w:numFmt w:val="decimal"/>
      <w:pPr>
        <w:pBdr/>
        <w:tabs>
          <w:tab w:val="num" w:leader="none" w:pos="0"/>
        </w:tabs>
        <w:spacing/>
        <w:ind w:hanging="480" w:left="840"/>
      </w:pPr>
      <w:rPr/>
      <w:start w:val="1"/>
      <w:suff w:val="tab"/>
    </w:lvl>
    <w:lvl w:ilvl="2">
      <w:isLgl w:val="false"/>
      <w:lvlJc w:val="left"/>
      <w:lvlText w:val="%1.%2.%3"/>
      <w:numFmt w:val="decimal"/>
      <w:pPr>
        <w:pBdr/>
        <w:tabs>
          <w:tab w:val="num" w:leader="none" w:pos="0"/>
        </w:tabs>
        <w:spacing/>
        <w:ind w:hanging="720" w:left="1080"/>
      </w:pPr>
      <w:rPr/>
      <w:start w:val="1"/>
      <w:suff w:val="tab"/>
    </w:lvl>
    <w:lvl w:ilvl="3">
      <w:isLgl w:val="false"/>
      <w:lvlJc w:val="left"/>
      <w:lvlText w:val="%1.%2.%3.%4"/>
      <w:numFmt w:val="decimal"/>
      <w:pPr>
        <w:pBdr/>
        <w:tabs>
          <w:tab w:val="num" w:leader="none" w:pos="0"/>
        </w:tabs>
        <w:spacing/>
        <w:ind w:hanging="720" w:left="1080"/>
      </w:pPr>
      <w:rPr/>
      <w:start w:val="1"/>
      <w:suff w:val="tab"/>
    </w:lvl>
    <w:lvl w:ilvl="4">
      <w:isLgl w:val="false"/>
      <w:lvlJc w:val="left"/>
      <w:lvlText w:val="%1.%2.%3.%4.%5"/>
      <w:numFmt w:val="decimal"/>
      <w:pPr>
        <w:pBdr/>
        <w:tabs>
          <w:tab w:val="num" w:leader="none" w:pos="0"/>
        </w:tabs>
        <w:spacing/>
        <w:ind w:hanging="1080" w:left="1440"/>
      </w:pPr>
      <w:rPr/>
      <w:start w:val="1"/>
      <w:suff w:val="tab"/>
    </w:lvl>
    <w:lvl w:ilvl="5">
      <w:isLgl w:val="false"/>
      <w:lvlJc w:val="left"/>
      <w:lvlText w:val="%1.%2.%3.%4.%5.%6"/>
      <w:numFmt w:val="decimal"/>
      <w:pPr>
        <w:pBdr/>
        <w:tabs>
          <w:tab w:val="num" w:leader="none" w:pos="0"/>
        </w:tabs>
        <w:spacing/>
        <w:ind w:hanging="1080" w:left="1440"/>
      </w:pPr>
      <w:rPr/>
      <w:start w:val="1"/>
      <w:suff w:val="tab"/>
    </w:lvl>
    <w:lvl w:ilvl="6">
      <w:isLgl w:val="false"/>
      <w:lvlJc w:val="left"/>
      <w:lvlText w:val="%1.%2.%3.%4.%5.%6.%7"/>
      <w:numFmt w:val="decimal"/>
      <w:pPr>
        <w:pBdr/>
        <w:tabs>
          <w:tab w:val="num" w:leader="none" w:pos="0"/>
        </w:tabs>
        <w:spacing/>
        <w:ind w:hanging="1440" w:left="1800"/>
      </w:pPr>
      <w:rPr/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tabs>
          <w:tab w:val="num" w:leader="none" w:pos="0"/>
        </w:tabs>
        <w:spacing/>
        <w:ind w:hanging="1440" w:left="1800"/>
      </w:pPr>
      <w:rPr/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tabs>
          <w:tab w:val="num" w:leader="none" w:pos="0"/>
        </w:tabs>
        <w:spacing/>
        <w:ind w:hanging="1800" w:left="216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1.%2"/>
      <w:numFmt w:val="decimal"/>
      <w:pPr>
        <w:pBdr/>
        <w:tabs>
          <w:tab w:val="num" w:leader="none" w:pos="0"/>
        </w:tabs>
        <w:spacing/>
        <w:ind w:hanging="480" w:left="840"/>
      </w:pPr>
      <w:rPr/>
      <w:start w:val="1"/>
      <w:suff w:val="tab"/>
    </w:lvl>
    <w:lvl w:ilvl="2">
      <w:isLgl w:val="false"/>
      <w:lvlJc w:val="left"/>
      <w:lvlText w:val="%1.%2.%3"/>
      <w:numFmt w:val="decimal"/>
      <w:pPr>
        <w:pBdr/>
        <w:tabs>
          <w:tab w:val="num" w:leader="none" w:pos="0"/>
        </w:tabs>
        <w:spacing/>
        <w:ind w:hanging="720" w:left="1080"/>
      </w:pPr>
      <w:rPr/>
      <w:start w:val="1"/>
      <w:suff w:val="tab"/>
    </w:lvl>
    <w:lvl w:ilvl="3">
      <w:isLgl w:val="false"/>
      <w:lvlJc w:val="left"/>
      <w:lvlText w:val="%1.%2.%3.%4"/>
      <w:numFmt w:val="decimal"/>
      <w:pPr>
        <w:pBdr/>
        <w:tabs>
          <w:tab w:val="num" w:leader="none" w:pos="0"/>
        </w:tabs>
        <w:spacing/>
        <w:ind w:hanging="720" w:left="1080"/>
      </w:pPr>
      <w:rPr/>
      <w:start w:val="1"/>
      <w:suff w:val="tab"/>
    </w:lvl>
    <w:lvl w:ilvl="4">
      <w:isLgl w:val="false"/>
      <w:lvlJc w:val="left"/>
      <w:lvlText w:val="%1.%2.%3.%4.%5"/>
      <w:numFmt w:val="decimal"/>
      <w:pPr>
        <w:pBdr/>
        <w:tabs>
          <w:tab w:val="num" w:leader="none" w:pos="0"/>
        </w:tabs>
        <w:spacing/>
        <w:ind w:hanging="1080" w:left="1440"/>
      </w:pPr>
      <w:rPr/>
      <w:start w:val="1"/>
      <w:suff w:val="tab"/>
    </w:lvl>
    <w:lvl w:ilvl="5">
      <w:isLgl w:val="false"/>
      <w:lvlJc w:val="left"/>
      <w:lvlText w:val="%1.%2.%3.%4.%5.%6"/>
      <w:numFmt w:val="decimal"/>
      <w:pPr>
        <w:pBdr/>
        <w:tabs>
          <w:tab w:val="num" w:leader="none" w:pos="0"/>
        </w:tabs>
        <w:spacing/>
        <w:ind w:hanging="1080" w:left="1440"/>
      </w:pPr>
      <w:rPr/>
      <w:start w:val="1"/>
      <w:suff w:val="tab"/>
    </w:lvl>
    <w:lvl w:ilvl="6">
      <w:isLgl w:val="false"/>
      <w:lvlJc w:val="left"/>
      <w:lvlText w:val="%1.%2.%3.%4.%5.%6.%7"/>
      <w:numFmt w:val="decimal"/>
      <w:pPr>
        <w:pBdr/>
        <w:tabs>
          <w:tab w:val="num" w:leader="none" w:pos="0"/>
        </w:tabs>
        <w:spacing/>
        <w:ind w:hanging="1440" w:left="1800"/>
      </w:pPr>
      <w:rPr/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tabs>
          <w:tab w:val="num" w:leader="none" w:pos="0"/>
        </w:tabs>
        <w:spacing/>
        <w:ind w:hanging="1440" w:left="1800"/>
      </w:pPr>
      <w:rPr/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tabs>
          <w:tab w:val="num" w:leader="none" w:pos="0"/>
        </w:tabs>
        <w:spacing/>
        <w:ind w:hanging="1800" w:left="2160"/>
      </w:pPr>
      <w:rPr/>
      <w:start w:val="1"/>
      <w:suff w:val="tab"/>
    </w:lvl>
  </w:abstractNum>
  <w:abstractNum w:abstractNumId="9">
    <w:lvl w:ilvl="0">
      <w:isLgl w:val="false"/>
      <w:lvlJc w:val="left"/>
      <w:lvlText w:val="•"/>
      <w:numFmt w:val="bullet"/>
      <w:pPr>
        <w:pBdr/>
        <w:tabs>
          <w:tab w:val="num" w:leader="none" w:pos="0"/>
        </w:tabs>
        <w:spacing/>
        <w:ind w:firstLine="0" w:left="0"/>
      </w:pPr>
      <w:rPr>
        <w:rFonts w:hint="default" w:ascii="Times New Roman" w:hAnsi="Times New Roman" w:cs="Times New Roman"/>
      </w:rPr>
      <w:start w:val="65535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080"/>
        </w:tabs>
        <w:spacing/>
        <w:ind w:hanging="360" w:left="108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3240"/>
        </w:tabs>
        <w:spacing/>
        <w:ind w:hanging="360" w:left="324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</w:abstractNum>
  <w:abstractNum w:abstractNumId="10">
    <w:lvl w:ilvl="0">
      <w:isLgl w:val="false"/>
      <w:lvlJc w:val="left"/>
      <w:lvlText w:val="%1"/>
      <w:numFmt w:val="decimal"/>
      <w:pPr>
        <w:pBdr/>
        <w:tabs>
          <w:tab w:val="num" w:leader="none" w:pos="0"/>
        </w:tabs>
        <w:spacing/>
        <w:ind w:hanging="480" w:left="480"/>
      </w:pPr>
      <w:rPr/>
      <w:start w:val="5"/>
      <w:suff w:val="tab"/>
    </w:lvl>
    <w:lvl w:ilvl="1">
      <w:isLgl w:val="false"/>
      <w:lvlJc w:val="left"/>
      <w:lvlText w:val="%1.%2"/>
      <w:numFmt w:val="decimal"/>
      <w:pPr>
        <w:pBdr/>
        <w:tabs>
          <w:tab w:val="num" w:leader="none" w:pos="0"/>
        </w:tabs>
        <w:spacing/>
        <w:ind w:hanging="480" w:left="660"/>
      </w:pPr>
      <w:rPr/>
      <w:start w:val="1"/>
      <w:suff w:val="tab"/>
    </w:lvl>
    <w:lvl w:ilvl="2">
      <w:isLgl w:val="false"/>
      <w:lvlJc w:val="left"/>
      <w:lvlText w:val=""/>
      <w:numFmt w:val="bullet"/>
      <w:pPr>
        <w:pBdr/>
        <w:tabs>
          <w:tab w:val="num" w:leader="none" w:pos="0"/>
        </w:tabs>
        <w:spacing/>
        <w:ind w:hanging="720" w:left="1080"/>
      </w:pPr>
      <w:rPr>
        <w:rFonts w:hint="default" w:ascii="Symbol" w:hAnsi="Symbol" w:cs="Symbol"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tabs>
          <w:tab w:val="num" w:leader="none" w:pos="0"/>
        </w:tabs>
        <w:spacing/>
        <w:ind w:hanging="720" w:left="1260"/>
      </w:pPr>
      <w:rPr/>
      <w:start w:val="1"/>
      <w:suff w:val="tab"/>
    </w:lvl>
    <w:lvl w:ilvl="4">
      <w:isLgl w:val="false"/>
      <w:lvlJc w:val="left"/>
      <w:lvlText w:val="%1.%2.%3.%4.%5"/>
      <w:numFmt w:val="decimal"/>
      <w:pPr>
        <w:pBdr/>
        <w:tabs>
          <w:tab w:val="num" w:leader="none" w:pos="0"/>
        </w:tabs>
        <w:spacing/>
        <w:ind w:hanging="1080" w:left="1800"/>
      </w:pPr>
      <w:rPr/>
      <w:start w:val="1"/>
      <w:suff w:val="tab"/>
    </w:lvl>
    <w:lvl w:ilvl="5">
      <w:isLgl w:val="false"/>
      <w:lvlJc w:val="left"/>
      <w:lvlText w:val="%1.%2.%3.%4.%5.%6"/>
      <w:numFmt w:val="decimal"/>
      <w:pPr>
        <w:pBdr/>
        <w:tabs>
          <w:tab w:val="num" w:leader="none" w:pos="0"/>
        </w:tabs>
        <w:spacing/>
        <w:ind w:hanging="1080" w:left="1980"/>
      </w:pPr>
      <w:rPr/>
      <w:start w:val="1"/>
      <w:suff w:val="tab"/>
    </w:lvl>
    <w:lvl w:ilvl="6">
      <w:isLgl w:val="false"/>
      <w:lvlJc w:val="left"/>
      <w:lvlText w:val="%1.%2.%3.%4.%5.%6.%7"/>
      <w:numFmt w:val="decimal"/>
      <w:pPr>
        <w:pBdr/>
        <w:tabs>
          <w:tab w:val="num" w:leader="none" w:pos="0"/>
        </w:tabs>
        <w:spacing/>
        <w:ind w:hanging="1440" w:left="2520"/>
      </w:pPr>
      <w:rPr/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tabs>
          <w:tab w:val="num" w:leader="none" w:pos="0"/>
        </w:tabs>
        <w:spacing/>
        <w:ind w:hanging="1440" w:left="2700"/>
      </w:pPr>
      <w:rPr/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tabs>
          <w:tab w:val="num" w:leader="none" w:pos="0"/>
        </w:tabs>
        <w:spacing/>
        <w:ind w:hanging="1800" w:left="3240"/>
      </w:pPr>
      <w:rPr/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tabs>
          <w:tab w:val="num" w:leader="none" w:pos="0"/>
        </w:tabs>
        <w:spacing/>
        <w:ind w:hanging="360" w:left="720"/>
      </w:pPr>
      <w:rPr>
        <w:rFonts w:hint="default" w:ascii="Times New Roman" w:hAnsi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2160"/>
      </w:pPr>
      <w:rPr>
        <w:rFonts w:hint="default" w:ascii="Wingdings" w:hAnsi="Wingdings" w:cs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2880"/>
      </w:pPr>
      <w:rPr>
        <w:rFonts w:hint="default" w:ascii="Symbol" w:hAnsi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4320"/>
      </w:pPr>
      <w:rPr>
        <w:rFonts w:hint="default" w:ascii="Wingdings" w:hAnsi="Wingdings" w:cs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5040"/>
      </w:pPr>
      <w:rPr>
        <w:rFonts w:hint="default" w:ascii="Symbol" w:hAnsi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6480"/>
      </w:pPr>
      <w:rPr>
        <w:rFonts w:hint="default" w:ascii="Wingdings" w:hAnsi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720"/>
      </w:pPr>
      <w:rPr>
        <w:rFonts w:hint="default" w:ascii="Symbol" w:hAnsi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2160"/>
      </w:pPr>
      <w:rPr>
        <w:rFonts w:hint="default" w:ascii="Wingdings" w:hAnsi="Wingdings" w:cs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2880"/>
      </w:pPr>
      <w:rPr>
        <w:rFonts w:hint="default" w:ascii="Symbol" w:hAnsi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4320"/>
      </w:pPr>
      <w:rPr>
        <w:rFonts w:hint="default" w:ascii="Wingdings" w:hAnsi="Wingdings" w:cs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5040"/>
      </w:pPr>
      <w:rPr>
        <w:rFonts w:hint="default" w:ascii="Symbol" w:hAnsi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6480"/>
      </w:pPr>
      <w:rPr>
        <w:rFonts w:hint="default" w:ascii="Wingdings" w:hAnsi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360"/>
      </w:pPr>
      <w:rPr/>
      <w:start w:val="3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360" w:left="398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720" w:left="796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720" w:left="834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1080" w:left="1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1080" w:left="127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440" w:left="1668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440" w:left="1706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800" w:left="2104"/>
      </w:pPr>
      <w:rPr/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 w:cs="Symbol"/>
      </w:rPr>
      <w:start w:val="1"/>
      <w:suff w:val="tab"/>
    </w:lvl>
    <w:lvl w:ilvl="1">
      <w:isLgl w:val="false"/>
      <w:lvlJc w:val="left"/>
      <w:lvlText w:val="◦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OpenSymbol" w:hAnsi="OpenSymbol" w:cs="OpenSymbol"/>
      </w:rPr>
      <w:start w:val="1"/>
      <w:suff w:val="tab"/>
    </w:lvl>
    <w:lvl w:ilvl="2">
      <w:isLgl w:val="false"/>
      <w:lvlJc w:val="left"/>
      <w:lvlText w:val="▪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OpenSymbol" w:hAnsi="OpenSymbol" w:cs="OpenSymbol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Symbol" w:hAnsi="Symbol" w:cs="Symbol"/>
      </w:rPr>
      <w:start w:val="1"/>
      <w:suff w:val="tab"/>
    </w:lvl>
    <w:lvl w:ilvl="4">
      <w:isLgl w:val="false"/>
      <w:lvlJc w:val="left"/>
      <w:lvlText w:val="◦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OpenSymbol" w:hAnsi="OpenSymbol" w:cs="OpenSymbol"/>
      </w:rPr>
      <w:start w:val="1"/>
      <w:suff w:val="tab"/>
    </w:lvl>
    <w:lvl w:ilvl="5">
      <w:isLgl w:val="false"/>
      <w:lvlJc w:val="left"/>
      <w:lvlText w:val="▪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OpenSymbol" w:hAnsi="OpenSymbol" w:cs="OpenSymbol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 w:cs="Symbol"/>
      </w:rPr>
      <w:start w:val="1"/>
      <w:suff w:val="tab"/>
    </w:lvl>
    <w:lvl w:ilvl="7">
      <w:isLgl w:val="false"/>
      <w:lvlJc w:val="left"/>
      <w:lvlText w:val="◦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OpenSymbol" w:hAnsi="OpenSymbol" w:cs="OpenSymbol"/>
      </w:rPr>
      <w:start w:val="1"/>
      <w:suff w:val="tab"/>
    </w:lvl>
    <w:lvl w:ilvl="8">
      <w:isLgl w:val="false"/>
      <w:lvlJc w:val="left"/>
      <w:lvlText w:val="▪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OpenSymbol" w:hAnsi="OpenSymbol" w:cs="OpenSymbol"/>
      </w:rPr>
      <w:start w:val="1"/>
      <w:suff w:val="tab"/>
    </w:lvl>
  </w:abstractNum>
  <w:abstractNum w:abstractNumId="15">
    <w:lvl w:ilvl="0">
      <w:isLgl w:val="false"/>
      <w:lvlJc w:val="left"/>
      <w:lvlText w:val="%1)"/>
      <w:numFmt w:val="decimal"/>
      <w:pPr>
        <w:pBdr/>
        <w:tabs>
          <w:tab w:val="num" w:leader="none" w:pos="0"/>
        </w:tabs>
        <w:spacing/>
        <w:ind w:hanging="360" w:left="746"/>
      </w:pPr>
      <w:rPr>
        <w:rFonts w:cs="Times New Roman"/>
        <w:b w:val="0"/>
        <w:i w:val="0"/>
        <w:strike w:val="0"/>
        <w:sz w:val="24"/>
        <w:szCs w:val="24"/>
        <w:u w:val="no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0"/>
        </w:tabs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0"/>
        </w:tabs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0"/>
        </w:tabs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0"/>
        </w:tabs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0"/>
        </w:tabs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0"/>
        </w:tabs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0"/>
        </w:tabs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0"/>
        </w:tabs>
        <w:spacing/>
        <w:ind w:hanging="180" w:left="7189"/>
      </w:pPr>
      <w:rPr>
        <w:rFonts w:cs="Times New Roman"/>
      </w:rPr>
      <w:start w:val="1"/>
      <w:suff w:val="tab"/>
    </w:lvl>
  </w:abstractNum>
  <w:abstractNum w:abstractNumId="16">
    <w:lvl w:ilvl="0">
      <w:isLgl w:val="false"/>
      <w:lvlJc w:val="left"/>
      <w:lvlText w:val="%1)"/>
      <w:numFmt w:val="decimal"/>
      <w:pPr>
        <w:pBdr/>
        <w:tabs>
          <w:tab w:val="num" w:leader="none" w:pos="0"/>
        </w:tabs>
        <w:spacing/>
        <w:ind w:hanging="360" w:left="746"/>
      </w:pPr>
      <w:rPr>
        <w:rFonts w:cs="Times New Roman"/>
        <w:b w:val="0"/>
        <w:i w:val="0"/>
        <w:strike w:val="0"/>
        <w:sz w:val="24"/>
        <w:szCs w:val="24"/>
        <w:u w:val="no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0"/>
        </w:tabs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0"/>
        </w:tabs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0"/>
        </w:tabs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0"/>
        </w:tabs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0"/>
        </w:tabs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0"/>
        </w:tabs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0"/>
        </w:tabs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0"/>
        </w:tabs>
        <w:spacing/>
        <w:ind w:hanging="180" w:left="7189"/>
      </w:pPr>
      <w:rPr>
        <w:rFonts w:cs="Times New Roman"/>
      </w:rPr>
      <w:start w:val="1"/>
      <w:suff w:val="tab"/>
    </w:lvl>
  </w:abstractNum>
  <w:abstractNum w:abstractNumId="17">
    <w:lvl w:ilvl="0">
      <w:isLgl w:val="false"/>
      <w:lvlJc w:val="left"/>
      <w:lvlText w:val="%1)"/>
      <w:numFmt w:val="decimal"/>
      <w:pPr>
        <w:pBdr/>
        <w:tabs>
          <w:tab w:val="num" w:leader="none" w:pos="0"/>
        </w:tabs>
        <w:spacing/>
        <w:ind w:hanging="360" w:left="746"/>
      </w:pPr>
      <w:rPr>
        <w:rFonts w:cs="Times New Roman"/>
        <w:b w:val="0"/>
        <w:i w:val="0"/>
        <w:strike w:val="0"/>
        <w:sz w:val="24"/>
        <w:szCs w:val="24"/>
        <w:u w:val="no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0"/>
        </w:tabs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0"/>
        </w:tabs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0"/>
        </w:tabs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0"/>
        </w:tabs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0"/>
        </w:tabs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0"/>
        </w:tabs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0"/>
        </w:tabs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0"/>
        </w:tabs>
        <w:spacing/>
        <w:ind w:hanging="180" w:left="7189"/>
      </w:pPr>
      <w:rPr>
        <w:rFonts w:cs="Times New Roman"/>
      </w:rPr>
      <w:start w:val="1"/>
      <w:suff w:val="tab"/>
    </w:lvl>
  </w:abstractNum>
  <w:abstractNum w:abstractNumId="18">
    <w:lvl w:ilvl="0">
      <w:isLgl w:val="false"/>
      <w:lvlJc w:val="left"/>
      <w:lvlText w:val="%1)"/>
      <w:numFmt w:val="decimal"/>
      <w:pPr>
        <w:pBdr/>
        <w:tabs>
          <w:tab w:val="num" w:leader="none" w:pos="0"/>
        </w:tabs>
        <w:spacing/>
        <w:ind w:hanging="360" w:left="746"/>
      </w:pPr>
      <w:rPr>
        <w:rFonts w:cs="Times New Roman"/>
        <w:b w:val="0"/>
        <w:i w:val="0"/>
        <w:strike w:val="0"/>
        <w:sz w:val="24"/>
        <w:szCs w:val="24"/>
        <w:u w:val="no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0"/>
        </w:tabs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0"/>
        </w:tabs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0"/>
        </w:tabs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0"/>
        </w:tabs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0"/>
        </w:tabs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0"/>
        </w:tabs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0"/>
        </w:tabs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0"/>
        </w:tabs>
        <w:spacing/>
        <w:ind w:hanging="180" w:left="7189"/>
      </w:pPr>
      <w:rPr>
        <w:rFonts w:cs="Times New Roman"/>
      </w:rPr>
      <w:start w:val="1"/>
      <w:suff w:val="tab"/>
    </w:lvl>
  </w:abstractNum>
  <w:abstractNum w:abstractNumId="19">
    <w:lvl w:ilvl="0">
      <w:isLgl w:val="false"/>
      <w:lvlJc w:val="left"/>
      <w:lvlText w:val="%1)"/>
      <w:numFmt w:val="decimal"/>
      <w:pPr>
        <w:pBdr/>
        <w:tabs>
          <w:tab w:val="num" w:leader="none" w:pos="0"/>
        </w:tabs>
        <w:spacing/>
        <w:ind w:hanging="360" w:left="746"/>
      </w:pPr>
      <w:rPr>
        <w:rFonts w:cs="Times New Roman"/>
        <w:b w:val="0"/>
        <w:i w:val="0"/>
        <w:strike w:val="0"/>
        <w:sz w:val="24"/>
        <w:szCs w:val="24"/>
        <w:u w:val="no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0"/>
        </w:tabs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0"/>
        </w:tabs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0"/>
        </w:tabs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0"/>
        </w:tabs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0"/>
        </w:tabs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0"/>
        </w:tabs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0"/>
        </w:tabs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0"/>
        </w:tabs>
        <w:spacing/>
        <w:ind w:hanging="180" w:left="7189"/>
      </w:pPr>
      <w:rPr>
        <w:rFonts w:cs="Times New Roman"/>
      </w:rPr>
      <w:start w:val="1"/>
      <w:suff w:val="tab"/>
    </w:lvl>
  </w:abstractNum>
  <w:abstractNum w:abstractNumId="20">
    <w:lvl w:ilvl="0">
      <w:isLgl w:val="false"/>
      <w:lvlJc w:val="left"/>
      <w:lvlText w:val="%1)"/>
      <w:numFmt w:val="decimal"/>
      <w:pPr>
        <w:pBdr/>
        <w:tabs>
          <w:tab w:val="num" w:leader="none" w:pos="0"/>
        </w:tabs>
        <w:spacing/>
        <w:ind w:hanging="360" w:left="746"/>
      </w:pPr>
      <w:rPr>
        <w:rFonts w:cs="Times New Roman"/>
        <w:b w:val="0"/>
        <w:i w:val="0"/>
        <w:strike w:val="0"/>
        <w:sz w:val="24"/>
        <w:szCs w:val="24"/>
        <w:u w:val="no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0"/>
        </w:tabs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0"/>
        </w:tabs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0"/>
        </w:tabs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0"/>
        </w:tabs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0"/>
        </w:tabs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0"/>
        </w:tabs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0"/>
        </w:tabs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0"/>
        </w:tabs>
        <w:spacing/>
        <w:ind w:hanging="180" w:left="7189"/>
      </w:pPr>
      <w:rPr>
        <w:rFonts w:cs="Times New Roman"/>
      </w:rPr>
      <w:start w:val="1"/>
      <w:suff w:val="tab"/>
    </w:lvl>
  </w:abstractNum>
  <w:abstractNum w:abstractNumId="21">
    <w:lvl w:ilvl="0">
      <w:isLgl w:val="false"/>
      <w:lvlJc w:val="left"/>
      <w:lvlText w:val="%1)"/>
      <w:numFmt w:val="decimal"/>
      <w:pPr>
        <w:pBdr/>
        <w:tabs>
          <w:tab w:val="num" w:leader="none" w:pos="0"/>
        </w:tabs>
        <w:spacing/>
        <w:ind w:hanging="360" w:left="746"/>
      </w:pPr>
      <w:rPr>
        <w:rFonts w:cs="Times New Roman"/>
        <w:b w:val="0"/>
        <w:i w:val="0"/>
        <w:strike w:val="0"/>
        <w:sz w:val="24"/>
        <w:szCs w:val="24"/>
        <w:u w:val="no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0"/>
        </w:tabs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0"/>
        </w:tabs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0"/>
        </w:tabs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0"/>
        </w:tabs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0"/>
        </w:tabs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0"/>
        </w:tabs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0"/>
        </w:tabs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0"/>
        </w:tabs>
        <w:spacing/>
        <w:ind w:hanging="180" w:left="7189"/>
      </w:pPr>
      <w:rPr>
        <w:rFonts w:cs="Times New Roman"/>
      </w:rPr>
      <w:start w:val="1"/>
      <w:suff w:val="tab"/>
    </w:lvl>
  </w:abstractNum>
  <w:abstractNum w:abstractNumId="22">
    <w:lvl w:ilvl="0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1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2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3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4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5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6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7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8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</w:abstractNum>
  <w:abstractNum w:abstractNumId="23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32" w:left="792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504" w:left="1224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648" w:left="1728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440" w:left="432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15"/>
    <w:lvlOverride w:ilvl="0">
      <w:startOverride w:val="1"/>
    </w:lvlOverride>
  </w:num>
  <w:num w:numId="25">
    <w:abstractNumId w:val="15"/>
  </w:num>
  <w:num w:numId="26">
    <w:abstractNumId w:val="15"/>
  </w:num>
  <w:num w:numId="27">
    <w:abstractNumId w:val="15"/>
  </w:num>
  <w:num w:numId="28">
    <w:abstractNumId w:val="15"/>
  </w:num>
  <w:num w:numId="29">
    <w:abstractNumId w:val="15"/>
  </w:num>
  <w:num w:numId="30">
    <w:abstractNumId w:val="15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Tahoma" w:cs="Lohit Devanagari"/>
        <w:lang w:val="ru-RU" w:eastAsia="ru-RU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02" w:default="1">
    <w:name w:val="Normal"/>
    <w:qFormat/>
    <w:pPr>
      <w:widowControl w:val="true"/>
      <w:pBdr/>
      <w:bidi w:val="false"/>
      <w:spacing w:after="0" w:before="0"/>
      <w:ind/>
      <w:jc w:val="left"/>
    </w:pPr>
    <w:rPr>
      <w:rFonts w:ascii="Times New Roman" w:hAnsi="Times New Roman" w:eastAsia="Times New Roman" w:cs="Times New Roman"/>
      <w:color w:val="auto"/>
      <w:sz w:val="28"/>
      <w:szCs w:val="28"/>
      <w:lang w:val="ru-RU" w:eastAsia="ru-RU" w:bidi="ar-SA"/>
    </w:rPr>
  </w:style>
  <w:style w:type="paragraph" w:styleId="903">
    <w:name w:val="Heading 1"/>
    <w:basedOn w:val="905"/>
    <w:next w:val="902"/>
    <w:link w:val="940"/>
    <w:qFormat/>
    <w:pPr>
      <w:pBdr/>
      <w:spacing/>
      <w:ind/>
      <w:outlineLvl w:val="0"/>
    </w:pPr>
    <w:rPr>
      <w:sz w:val="28"/>
      <w:szCs w:val="28"/>
    </w:rPr>
  </w:style>
  <w:style w:type="paragraph" w:styleId="904">
    <w:name w:val="Heading 2"/>
    <w:basedOn w:val="906"/>
    <w:next w:val="902"/>
    <w:link w:val="941"/>
    <w:qFormat/>
    <w:pPr>
      <w:pBdr/>
      <w:spacing/>
      <w:ind/>
      <w:outlineLvl w:val="1"/>
    </w:pPr>
  </w:style>
  <w:style w:type="paragraph" w:styleId="905">
    <w:name w:val="Heading 3"/>
    <w:basedOn w:val="902"/>
    <w:next w:val="902"/>
    <w:link w:val="942"/>
    <w:qFormat/>
    <w:pPr>
      <w:keepNext w:val="true"/>
      <w:pBdr/>
      <w:tabs>
        <w:tab w:val="left" w:leader="none" w:pos="0"/>
        <w:tab w:val="clear" w:leader="none" w:pos="708"/>
      </w:tabs>
      <w:spacing w:after="60" w:before="120"/>
      <w:ind w:hanging="504" w:left="1224"/>
      <w:outlineLvl w:val="2"/>
    </w:pPr>
    <w:rPr>
      <w:rFonts w:eastAsia="Calibri"/>
      <w:b/>
      <w:sz w:val="24"/>
      <w:szCs w:val="24"/>
    </w:rPr>
  </w:style>
  <w:style w:type="paragraph" w:styleId="906">
    <w:name w:val="Heading 4"/>
    <w:basedOn w:val="905"/>
    <w:next w:val="902"/>
    <w:link w:val="943"/>
    <w:qFormat/>
    <w:pPr>
      <w:pBdr/>
      <w:spacing/>
      <w:ind/>
      <w:outlineLvl w:val="3"/>
    </w:pPr>
    <w:rPr>
      <w:bCs/>
    </w:rPr>
  </w:style>
  <w:style w:type="paragraph" w:styleId="907">
    <w:name w:val="Heading 5"/>
    <w:basedOn w:val="902"/>
    <w:next w:val="902"/>
    <w:link w:val="944"/>
    <w:uiPriority w:val="9"/>
    <w:qFormat/>
    <w:pPr>
      <w:pBdr/>
      <w:spacing w:after="60" w:before="240"/>
      <w:ind/>
      <w:outlineLvl w:val="4"/>
    </w:pPr>
    <w:rPr>
      <w:b/>
      <w:bCs/>
      <w:i/>
      <w:iCs/>
      <w:sz w:val="26"/>
      <w:szCs w:val="26"/>
    </w:rPr>
  </w:style>
  <w:style w:type="paragraph" w:styleId="908">
    <w:name w:val="Heading 6"/>
    <w:basedOn w:val="902"/>
    <w:next w:val="902"/>
    <w:link w:val="937"/>
    <w:uiPriority w:val="9"/>
    <w:qFormat/>
    <w:pPr>
      <w:keepNext w:val="true"/>
      <w:keepLines w:val="true"/>
      <w:pBdr/>
      <w:spacing w:after="0" w:before="200"/>
      <w:ind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909">
    <w:name w:val="Heading 7"/>
    <w:basedOn w:val="902"/>
    <w:next w:val="902"/>
    <w:link w:val="938"/>
    <w:uiPriority w:val="9"/>
    <w:qFormat/>
    <w:pPr>
      <w:keepNext w:val="true"/>
      <w:keepLines w:val="true"/>
      <w:pBdr/>
      <w:spacing w:after="0" w:before="200"/>
      <w:ind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910">
    <w:name w:val="Heading 8"/>
    <w:basedOn w:val="902"/>
    <w:next w:val="902"/>
    <w:link w:val="939"/>
    <w:uiPriority w:val="9"/>
    <w:qFormat/>
    <w:pPr>
      <w:keepNext w:val="true"/>
      <w:keepLines w:val="true"/>
      <w:pBdr/>
      <w:spacing w:after="0" w:before="200"/>
      <w:ind/>
      <w:outlineLvl w:val="7"/>
    </w:pPr>
    <w:rPr>
      <w:rFonts w:ascii="Cambria" w:hAnsi="Cambria"/>
      <w:color w:val="4f81bd"/>
      <w:sz w:val="20"/>
      <w:szCs w:val="20"/>
    </w:rPr>
  </w:style>
  <w:style w:type="paragraph" w:styleId="911">
    <w:name w:val="Heading 9"/>
    <w:basedOn w:val="902"/>
    <w:next w:val="902"/>
    <w:link w:val="945"/>
    <w:uiPriority w:val="9"/>
    <w:qFormat/>
    <w:pPr>
      <w:pBdr/>
      <w:spacing w:after="60" w:before="240"/>
      <w:ind/>
      <w:outlineLvl w:val="8"/>
    </w:pPr>
    <w:rPr>
      <w:rFonts w:ascii="Arial" w:hAnsi="Arial"/>
      <w:sz w:val="22"/>
      <w:szCs w:val="22"/>
    </w:rPr>
  </w:style>
  <w:style w:type="character" w:styleId="912">
    <w:name w:val="Heading 1 Char"/>
    <w:basedOn w:val="929"/>
    <w:uiPriority w:val="9"/>
    <w:qFormat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13">
    <w:name w:val="Heading 2 Char"/>
    <w:basedOn w:val="929"/>
    <w:uiPriority w:val="9"/>
    <w:qFormat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14">
    <w:name w:val="Heading 3 Char"/>
    <w:basedOn w:val="929"/>
    <w:uiPriority w:val="9"/>
    <w:qFormat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15">
    <w:name w:val="Heading 4 Char"/>
    <w:basedOn w:val="929"/>
    <w:uiPriority w:val="9"/>
    <w:qFormat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16">
    <w:name w:val="Heading 5 Char"/>
    <w:basedOn w:val="929"/>
    <w:uiPriority w:val="9"/>
    <w:qFormat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17">
    <w:name w:val="Heading 6 Char"/>
    <w:basedOn w:val="929"/>
    <w:uiPriority w:val="9"/>
    <w:qFormat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18">
    <w:name w:val="Heading 7 Char"/>
    <w:basedOn w:val="929"/>
    <w:uiPriority w:val="9"/>
    <w:qFormat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19">
    <w:name w:val="Heading 8 Char"/>
    <w:basedOn w:val="929"/>
    <w:uiPriority w:val="9"/>
    <w:qFormat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20">
    <w:name w:val="Heading 9 Char"/>
    <w:basedOn w:val="929"/>
    <w:uiPriority w:val="9"/>
    <w:qFormat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21">
    <w:name w:val="Title Char"/>
    <w:basedOn w:val="929"/>
    <w:uiPriority w:val="10"/>
    <w:qFormat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22">
    <w:name w:val="Subtitle Char"/>
    <w:basedOn w:val="929"/>
    <w:uiPriority w:val="11"/>
    <w:qFormat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23">
    <w:name w:val="Quote Char"/>
    <w:basedOn w:val="929"/>
    <w:link w:val="1013"/>
    <w:uiPriority w:val="29"/>
    <w:qFormat/>
    <w:pPr>
      <w:pBdr/>
      <w:spacing/>
      <w:ind/>
    </w:pPr>
    <w:rPr>
      <w:i/>
      <w:iCs/>
      <w:color w:val="404040" w:themeColor="text1" w:themeTint="BF"/>
    </w:rPr>
  </w:style>
  <w:style w:type="character" w:styleId="924">
    <w:name w:val="Intense Quote Char"/>
    <w:basedOn w:val="929"/>
    <w:link w:val="1014"/>
    <w:uiPriority w:val="30"/>
    <w:qFormat/>
    <w:pPr>
      <w:pBdr/>
      <w:spacing/>
      <w:ind/>
    </w:pPr>
    <w:rPr>
      <w:i/>
      <w:iCs/>
      <w:color w:val="0f4761" w:themeColor="accent1" w:themeShade="BF"/>
    </w:rPr>
  </w:style>
  <w:style w:type="character" w:styleId="925">
    <w:name w:val="Header Char"/>
    <w:basedOn w:val="929"/>
    <w:uiPriority w:val="99"/>
    <w:qFormat/>
    <w:pPr>
      <w:pBdr/>
      <w:spacing/>
      <w:ind/>
    </w:pPr>
  </w:style>
  <w:style w:type="character" w:styleId="926">
    <w:name w:val="Footer Char"/>
    <w:basedOn w:val="929"/>
    <w:uiPriority w:val="99"/>
    <w:qFormat/>
    <w:pPr>
      <w:pBdr/>
      <w:spacing/>
      <w:ind/>
    </w:pPr>
  </w:style>
  <w:style w:type="character" w:styleId="927">
    <w:name w:val="Footnote Text Char"/>
    <w:basedOn w:val="929"/>
    <w:uiPriority w:val="99"/>
    <w:semiHidden/>
    <w:qFormat/>
    <w:pPr>
      <w:pBdr/>
      <w:spacing/>
      <w:ind/>
    </w:pPr>
    <w:rPr>
      <w:sz w:val="20"/>
      <w:szCs w:val="20"/>
    </w:rPr>
  </w:style>
  <w:style w:type="character" w:styleId="928">
    <w:name w:val="Endnote Text Char"/>
    <w:basedOn w:val="929"/>
    <w:uiPriority w:val="99"/>
    <w:semiHidden/>
    <w:qFormat/>
    <w:pPr>
      <w:pBdr/>
      <w:spacing/>
      <w:ind/>
    </w:pPr>
    <w:rPr>
      <w:sz w:val="20"/>
      <w:szCs w:val="20"/>
    </w:rPr>
  </w:style>
  <w:style w:type="character" w:styleId="929" w:default="1">
    <w:name w:val="Default Paragraph Font"/>
    <w:uiPriority w:val="1"/>
    <w:semiHidden/>
    <w:unhideWhenUsed/>
    <w:qFormat/>
    <w:pPr>
      <w:pBdr/>
      <w:spacing/>
      <w:ind/>
    </w:pPr>
  </w:style>
  <w:style w:type="character" w:styleId="930" w:customStyle="1">
    <w:name w:val="Символ сноски"/>
    <w:qFormat/>
    <w:pPr>
      <w:pBdr/>
      <w:spacing/>
      <w:ind/>
    </w:pPr>
    <w:rPr>
      <w:vertAlign w:val="superscript"/>
    </w:rPr>
  </w:style>
  <w:style w:type="character" w:styleId="931">
    <w:name w:val="footnote reference"/>
    <w:pPr>
      <w:pBdr/>
      <w:spacing/>
      <w:ind/>
    </w:pPr>
    <w:rPr>
      <w:vertAlign w:val="superscript"/>
    </w:rPr>
  </w:style>
  <w:style w:type="character" w:styleId="932" w:customStyle="1">
    <w:name w:val="Footnote Characters"/>
    <w:qFormat/>
    <w:pPr>
      <w:pBdr/>
      <w:spacing/>
      <w:ind/>
    </w:pPr>
    <w:rPr>
      <w:vertAlign w:val="superscript"/>
    </w:rPr>
  </w:style>
  <w:style w:type="character" w:styleId="933">
    <w:name w:val="page number"/>
    <w:basedOn w:val="929"/>
    <w:qFormat/>
    <w:pPr>
      <w:pBdr/>
      <w:spacing/>
      <w:ind/>
    </w:pPr>
  </w:style>
  <w:style w:type="character" w:styleId="934">
    <w:name w:val="Hyperlink"/>
    <w:uiPriority w:val="99"/>
    <w:pPr>
      <w:pBdr/>
      <w:spacing/>
      <w:ind/>
    </w:pPr>
    <w:rPr>
      <w:color w:val="0000ff"/>
      <w:u w:val="single"/>
    </w:rPr>
  </w:style>
  <w:style w:type="character" w:styleId="935">
    <w:name w:val="annotation reference"/>
    <w:uiPriority w:val="99"/>
    <w:semiHidden/>
    <w:qFormat/>
    <w:pPr>
      <w:pBdr/>
      <w:spacing/>
      <w:ind/>
    </w:pPr>
    <w:rPr>
      <w:sz w:val="16"/>
      <w:szCs w:val="16"/>
    </w:rPr>
  </w:style>
  <w:style w:type="character" w:styleId="936">
    <w:name w:val="Strong1"/>
    <w:qFormat/>
    <w:pPr>
      <w:pBdr/>
      <w:spacing/>
      <w:ind/>
    </w:pPr>
    <w:rPr>
      <w:b/>
      <w:bCs/>
    </w:rPr>
  </w:style>
  <w:style w:type="character" w:styleId="937" w:customStyle="1">
    <w:name w:val="Заголовок 6 Знак"/>
    <w:uiPriority w:val="9"/>
    <w:qFormat/>
    <w:pPr>
      <w:pBdr/>
      <w:spacing/>
      <w:ind/>
    </w:pPr>
    <w:rPr>
      <w:rFonts w:ascii="Cambria" w:hAnsi="Cambria"/>
      <w:i/>
      <w:iCs/>
      <w:color w:val="243f60"/>
    </w:rPr>
  </w:style>
  <w:style w:type="character" w:styleId="938" w:customStyle="1">
    <w:name w:val="Заголовок 7 Знак"/>
    <w:uiPriority w:val="9"/>
    <w:qFormat/>
    <w:pPr>
      <w:pBdr/>
      <w:spacing/>
      <w:ind/>
    </w:pPr>
    <w:rPr>
      <w:rFonts w:ascii="Cambria" w:hAnsi="Cambria"/>
      <w:i/>
      <w:iCs/>
      <w:color w:val="404040"/>
    </w:rPr>
  </w:style>
  <w:style w:type="character" w:styleId="939" w:customStyle="1">
    <w:name w:val="Заголовок 8 Знак"/>
    <w:uiPriority w:val="9"/>
    <w:qFormat/>
    <w:pPr>
      <w:pBdr/>
      <w:spacing/>
      <w:ind/>
    </w:pPr>
    <w:rPr>
      <w:rFonts w:ascii="Cambria" w:hAnsi="Cambria"/>
      <w:color w:val="4f81bd"/>
    </w:rPr>
  </w:style>
  <w:style w:type="character" w:styleId="940" w:customStyle="1">
    <w:name w:val="Заголовок 1 Знак"/>
    <w:qFormat/>
    <w:pPr>
      <w:pBdr/>
      <w:spacing/>
      <w:ind/>
    </w:pPr>
    <w:rPr>
      <w:rFonts w:eastAsia="Calibri"/>
      <w:b/>
      <w:sz w:val="28"/>
      <w:szCs w:val="28"/>
    </w:rPr>
  </w:style>
  <w:style w:type="character" w:styleId="941" w:customStyle="1">
    <w:name w:val="Заголовок 2 Знак"/>
    <w:qFormat/>
    <w:pPr>
      <w:pBdr/>
      <w:spacing/>
      <w:ind/>
    </w:pPr>
    <w:rPr>
      <w:rFonts w:eastAsia="Calibri"/>
      <w:b/>
      <w:bCs/>
      <w:sz w:val="24"/>
      <w:szCs w:val="24"/>
    </w:rPr>
  </w:style>
  <w:style w:type="character" w:styleId="942" w:customStyle="1">
    <w:name w:val="Заголовок 3 Знак"/>
    <w:qFormat/>
    <w:pPr>
      <w:pBdr/>
      <w:spacing/>
      <w:ind/>
    </w:pPr>
    <w:rPr>
      <w:rFonts w:eastAsia="Calibri"/>
      <w:b/>
      <w:sz w:val="24"/>
      <w:szCs w:val="24"/>
    </w:rPr>
  </w:style>
  <w:style w:type="character" w:styleId="943" w:customStyle="1">
    <w:name w:val="Заголовок 4 Знак"/>
    <w:qFormat/>
    <w:pPr>
      <w:pBdr/>
      <w:spacing/>
      <w:ind/>
    </w:pPr>
    <w:rPr>
      <w:rFonts w:eastAsia="Calibri"/>
      <w:b/>
      <w:bCs/>
      <w:sz w:val="24"/>
      <w:szCs w:val="24"/>
    </w:rPr>
  </w:style>
  <w:style w:type="character" w:styleId="944" w:customStyle="1">
    <w:name w:val="Заголовок 5 Знак"/>
    <w:uiPriority w:val="9"/>
    <w:qFormat/>
    <w:pPr>
      <w:pBdr/>
      <w:spacing/>
      <w:ind/>
    </w:pPr>
    <w:rPr>
      <w:b/>
      <w:bCs/>
      <w:i/>
      <w:iCs/>
      <w:sz w:val="26"/>
      <w:szCs w:val="26"/>
    </w:rPr>
  </w:style>
  <w:style w:type="character" w:styleId="945" w:customStyle="1">
    <w:name w:val="Заголовок 9 Знак"/>
    <w:uiPriority w:val="9"/>
    <w:qFormat/>
    <w:pPr>
      <w:pBdr/>
      <w:spacing/>
      <w:ind/>
    </w:pPr>
    <w:rPr>
      <w:rFonts w:ascii="Arial" w:hAnsi="Arial" w:cs="Arial"/>
      <w:sz w:val="22"/>
      <w:szCs w:val="22"/>
    </w:rPr>
  </w:style>
  <w:style w:type="character" w:styleId="946" w:customStyle="1">
    <w:name w:val="Название Знак"/>
    <w:uiPriority w:val="10"/>
    <w:qFormat/>
    <w:pPr>
      <w:pBdr/>
      <w:spacing/>
      <w:ind/>
    </w:pPr>
    <w:rPr>
      <w:sz w:val="28"/>
    </w:rPr>
  </w:style>
  <w:style w:type="character" w:styleId="947" w:customStyle="1">
    <w:name w:val="Подзаголовок Знак"/>
    <w:uiPriority w:val="11"/>
    <w:qFormat/>
    <w:pPr>
      <w:pBdr/>
      <w:spacing/>
      <w:ind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styleId="948">
    <w:name w:val="Emphasis"/>
    <w:uiPriority w:val="20"/>
    <w:qFormat/>
    <w:pPr>
      <w:pBdr/>
      <w:spacing/>
      <w:ind/>
    </w:pPr>
    <w:rPr>
      <w:i/>
      <w:iCs/>
    </w:rPr>
  </w:style>
  <w:style w:type="character" w:styleId="949" w:customStyle="1">
    <w:name w:val="Выделенная цитата Знак"/>
    <w:link w:val="1014"/>
    <w:uiPriority w:val="30"/>
    <w:qFormat/>
    <w:pPr>
      <w:pBdr/>
      <w:spacing/>
      <w:ind/>
    </w:pPr>
    <w:rPr>
      <w:rFonts w:ascii="Calibri" w:hAnsi="Calibri" w:eastAsia="Calibri"/>
      <w:b/>
      <w:bCs/>
      <w:i/>
      <w:iCs/>
      <w:color w:val="4f81bd"/>
    </w:rPr>
  </w:style>
  <w:style w:type="character" w:styleId="950">
    <w:name w:val="Subtle Emphasis"/>
    <w:uiPriority w:val="19"/>
    <w:qFormat/>
    <w:pPr>
      <w:pBdr/>
      <w:spacing/>
      <w:ind/>
    </w:pPr>
    <w:rPr>
      <w:i/>
      <w:iCs/>
      <w:color w:val="808080"/>
    </w:rPr>
  </w:style>
  <w:style w:type="character" w:styleId="951">
    <w:name w:val="Intense Emphasis"/>
    <w:uiPriority w:val="21"/>
    <w:qFormat/>
    <w:pPr>
      <w:pBdr/>
      <w:spacing/>
      <w:ind/>
    </w:pPr>
    <w:rPr>
      <w:b/>
      <w:bCs/>
      <w:i/>
      <w:iCs/>
      <w:color w:val="4f81bd"/>
    </w:rPr>
  </w:style>
  <w:style w:type="character" w:styleId="952">
    <w:name w:val="Subtle Reference"/>
    <w:uiPriority w:val="31"/>
    <w:qFormat/>
    <w:pPr>
      <w:pBdr/>
      <w:spacing/>
      <w:ind/>
    </w:pPr>
    <w:rPr>
      <w:smallCaps/>
      <w:color w:val="c0504d"/>
      <w:u w:val="single"/>
    </w:rPr>
  </w:style>
  <w:style w:type="character" w:styleId="953">
    <w:name w:val="Intense Reference"/>
    <w:uiPriority w:val="32"/>
    <w:qFormat/>
    <w:pPr>
      <w:pBdr/>
      <w:spacing/>
      <w:ind/>
    </w:pPr>
    <w:rPr>
      <w:b/>
      <w:bCs/>
      <w:smallCaps/>
      <w:color w:val="c0504d"/>
      <w:spacing w:val="5"/>
      <w:u w:val="single"/>
    </w:rPr>
  </w:style>
  <w:style w:type="character" w:styleId="954">
    <w:name w:val="Book Title"/>
    <w:uiPriority w:val="33"/>
    <w:qFormat/>
    <w:pPr>
      <w:pBdr/>
      <w:spacing/>
      <w:ind/>
    </w:pPr>
    <w:rPr>
      <w:b/>
      <w:bCs/>
      <w:smallCaps/>
      <w:spacing w:val="5"/>
    </w:rPr>
  </w:style>
  <w:style w:type="character" w:styleId="955" w:customStyle="1">
    <w:name w:val="Электронная подпись Знак"/>
    <w:link w:val="1017"/>
    <w:uiPriority w:val="99"/>
    <w:qFormat/>
    <w:pPr>
      <w:pBdr/>
      <w:spacing/>
      <w:ind/>
    </w:pPr>
    <w:rPr>
      <w:rFonts w:eastAsia="Calibri"/>
      <w:sz w:val="24"/>
      <w:szCs w:val="24"/>
    </w:rPr>
  </w:style>
  <w:style w:type="character" w:styleId="956" w:customStyle="1">
    <w:name w:val="Подпункт Знак1"/>
    <w:link w:val="997"/>
    <w:qFormat/>
    <w:pPr>
      <w:pBdr/>
      <w:spacing/>
      <w:ind/>
    </w:pPr>
    <w:rPr>
      <w:sz w:val="28"/>
    </w:rPr>
  </w:style>
  <w:style w:type="character" w:styleId="957" w:customStyle="1">
    <w:name w:val="Текст сноски Знак"/>
    <w:uiPriority w:val="99"/>
    <w:qFormat/>
    <w:pPr>
      <w:pBdr/>
      <w:spacing/>
      <w:ind/>
    </w:pPr>
  </w:style>
  <w:style w:type="character" w:styleId="958" w:customStyle="1">
    <w:name w:val="Основной текст Знак"/>
    <w:qFormat/>
    <w:pPr>
      <w:pBdr/>
      <w:spacing/>
      <w:ind/>
    </w:pPr>
    <w:rPr>
      <w:sz w:val="28"/>
      <w:szCs w:val="28"/>
    </w:rPr>
  </w:style>
  <w:style w:type="character" w:styleId="959" w:customStyle="1">
    <w:name w:val="blk"/>
    <w:qFormat/>
    <w:pPr>
      <w:pBdr/>
      <w:spacing/>
      <w:ind/>
    </w:pPr>
  </w:style>
  <w:style w:type="character" w:styleId="960" w:customStyle="1">
    <w:name w:val="Абзац списка Знак"/>
    <w:link w:val="1012"/>
    <w:uiPriority w:val="34"/>
    <w:qFormat/>
    <w:pPr>
      <w:pBdr/>
      <w:spacing/>
      <w:ind/>
    </w:pPr>
    <w:rPr>
      <w:rFonts w:eastAsia="Calibri"/>
      <w:sz w:val="24"/>
      <w:szCs w:val="24"/>
    </w:rPr>
  </w:style>
  <w:style w:type="character" w:styleId="961" w:customStyle="1">
    <w:name w:val="комментарий"/>
    <w:qFormat/>
    <w:pPr>
      <w:pBdr/>
      <w:spacing/>
      <w:ind/>
    </w:pPr>
    <w:rPr>
      <w:b/>
      <w:i/>
      <w:shd w:val="clear" w:color="auto" w:fill="ffff99"/>
    </w:rPr>
  </w:style>
  <w:style w:type="character" w:styleId="962" w:customStyle="1">
    <w:name w:val="Подподпункт Знак"/>
    <w:link w:val="1024"/>
    <w:qFormat/>
    <w:pPr>
      <w:pBdr/>
      <w:spacing/>
      <w:ind/>
    </w:pPr>
    <w:rPr>
      <w:sz w:val="26"/>
      <w:szCs w:val="26"/>
    </w:rPr>
  </w:style>
  <w:style w:type="character" w:styleId="963" w:customStyle="1">
    <w:name w:val="Верхний колонтитул Знак"/>
    <w:uiPriority w:val="99"/>
    <w:qFormat/>
    <w:pPr>
      <w:pBdr/>
      <w:spacing/>
      <w:ind/>
    </w:pPr>
    <w:rPr>
      <w:sz w:val="24"/>
      <w:szCs w:val="24"/>
    </w:rPr>
  </w:style>
  <w:style w:type="character" w:styleId="964" w:customStyle="1">
    <w:name w:val="Текст примечания Знак"/>
    <w:link w:val="1004"/>
    <w:semiHidden/>
    <w:qFormat/>
    <w:pPr>
      <w:pBdr/>
      <w:spacing/>
      <w:ind/>
    </w:pPr>
  </w:style>
  <w:style w:type="character" w:styleId="965" w:customStyle="1">
    <w:name w:val="Текст концевой сноски Знак"/>
    <w:basedOn w:val="929"/>
    <w:qFormat/>
    <w:pPr>
      <w:pBdr/>
      <w:spacing/>
      <w:ind/>
    </w:pPr>
  </w:style>
  <w:style w:type="character" w:styleId="966" w:customStyle="1">
    <w:name w:val="Символ концевой сноски"/>
    <w:qFormat/>
    <w:pPr>
      <w:pBdr/>
      <w:spacing/>
      <w:ind/>
    </w:pPr>
    <w:rPr>
      <w:vertAlign w:val="superscript"/>
    </w:rPr>
  </w:style>
  <w:style w:type="character" w:styleId="967">
    <w:name w:val="endnote reference"/>
    <w:pPr>
      <w:pBdr/>
      <w:spacing/>
      <w:ind/>
    </w:pPr>
    <w:rPr>
      <w:vertAlign w:val="superscript"/>
    </w:rPr>
  </w:style>
  <w:style w:type="character" w:styleId="968" w:customStyle="1">
    <w:name w:val="Endnote Characters"/>
    <w:basedOn w:val="929"/>
    <w:qFormat/>
    <w:pPr>
      <w:pBdr/>
      <w:spacing/>
      <w:ind/>
    </w:pPr>
    <w:rPr>
      <w:vertAlign w:val="superscript"/>
    </w:rPr>
  </w:style>
  <w:style w:type="character" w:styleId="969">
    <w:name w:val="FollowedHyperlink"/>
    <w:basedOn w:val="929"/>
    <w:uiPriority w:val="99"/>
    <w:semiHidden/>
    <w:unhideWhenUsed/>
    <w:pPr>
      <w:pBdr/>
      <w:spacing/>
      <w:ind/>
    </w:pPr>
    <w:rPr>
      <w:color w:val="954f72"/>
      <w:u w:val="single"/>
    </w:rPr>
  </w:style>
  <w:style w:type="character" w:styleId="970" w:customStyle="1">
    <w:name w:val="Нижний колонтитул Знак"/>
    <w:basedOn w:val="929"/>
    <w:uiPriority w:val="99"/>
    <w:qFormat/>
    <w:pPr>
      <w:pBdr/>
      <w:spacing/>
      <w:ind/>
    </w:pPr>
    <w:rPr>
      <w:sz w:val="28"/>
      <w:szCs w:val="28"/>
    </w:rPr>
  </w:style>
  <w:style w:type="character" w:styleId="971" w:customStyle="1">
    <w:name w:val="Font Style13"/>
    <w:qFormat/>
    <w:pPr>
      <w:pBdr/>
      <w:spacing/>
      <w:ind/>
    </w:pPr>
    <w:rPr>
      <w:rFonts w:ascii="Times New Roman" w:hAnsi="Times New Roman" w:cs="Times New Roman"/>
      <w:sz w:val="22"/>
      <w:szCs w:val="22"/>
    </w:rPr>
  </w:style>
  <w:style w:type="character" w:styleId="972">
    <w:name w:val="Маркеры"/>
    <w:qFormat/>
    <w:pPr>
      <w:pBdr/>
      <w:spacing/>
      <w:ind/>
    </w:pPr>
    <w:rPr>
      <w:rFonts w:ascii="OpenSymbol" w:hAnsi="OpenSymbol" w:eastAsia="OpenSymbol" w:cs="OpenSymbol"/>
    </w:rPr>
  </w:style>
  <w:style w:type="character" w:styleId="973">
    <w:name w:val="Strong"/>
    <w:qFormat/>
    <w:pPr>
      <w:pBdr/>
      <w:spacing/>
      <w:ind/>
    </w:pPr>
    <w:rPr>
      <w:b/>
      <w:bCs/>
    </w:rPr>
  </w:style>
  <w:style w:type="character" w:styleId="974">
    <w:name w:val="Символ нумерации"/>
    <w:qFormat/>
    <w:pPr>
      <w:pBdr/>
      <w:spacing/>
      <w:ind/>
    </w:pPr>
  </w:style>
  <w:style w:type="paragraph" w:styleId="975">
    <w:name w:val="Заголовок"/>
    <w:basedOn w:val="902"/>
    <w:next w:val="976"/>
    <w:qFormat/>
    <w:pPr>
      <w:keepNext w:val="true"/>
      <w:pBdr/>
      <w:spacing w:after="120" w:before="240"/>
      <w:ind/>
    </w:pPr>
    <w:rPr>
      <w:rFonts w:ascii="Liberation Sans" w:hAnsi="Liberation Sans" w:eastAsia="Tahoma" w:cs="Lohit Devanagari"/>
      <w:sz w:val="28"/>
      <w:szCs w:val="28"/>
    </w:rPr>
  </w:style>
  <w:style w:type="paragraph" w:styleId="976">
    <w:name w:val="Body Text"/>
    <w:basedOn w:val="902"/>
    <w:link w:val="958"/>
    <w:pPr>
      <w:pBdr/>
      <w:spacing w:after="120" w:before="0"/>
      <w:ind/>
    </w:pPr>
  </w:style>
  <w:style w:type="paragraph" w:styleId="977">
    <w:name w:val="List"/>
    <w:basedOn w:val="976"/>
    <w:pPr>
      <w:pBdr/>
      <w:spacing/>
      <w:ind/>
    </w:pPr>
    <w:rPr>
      <w:rFonts w:cs="Lucida Sans"/>
    </w:rPr>
  </w:style>
  <w:style w:type="paragraph" w:styleId="978">
    <w:name w:val="Caption"/>
    <w:basedOn w:val="902"/>
    <w:qFormat/>
    <w:pPr>
      <w:suppressLineNumbers w:val="true"/>
      <w:pBdr/>
      <w:spacing w:after="120" w:before="120"/>
      <w:ind/>
    </w:pPr>
    <w:rPr>
      <w:rFonts w:cs="Lohit Devanagari"/>
      <w:i/>
      <w:iCs/>
      <w:sz w:val="24"/>
      <w:szCs w:val="24"/>
    </w:rPr>
  </w:style>
  <w:style w:type="paragraph" w:styleId="979">
    <w:name w:val="Указатель"/>
    <w:basedOn w:val="902"/>
    <w:qFormat/>
    <w:pPr>
      <w:suppressLineNumbers w:val="true"/>
      <w:pBdr/>
      <w:spacing/>
      <w:ind/>
    </w:pPr>
    <w:rPr>
      <w:rFonts w:cs="Lohit Devanagari"/>
    </w:rPr>
  </w:style>
  <w:style w:type="paragraph" w:styleId="980">
    <w:name w:val="table of figures"/>
    <w:basedOn w:val="902"/>
    <w:next w:val="902"/>
    <w:uiPriority w:val="99"/>
    <w:unhideWhenUsed/>
    <w:qFormat/>
    <w:pPr>
      <w:pBdr/>
      <w:spacing w:after="0" w:afterAutospacing="0" w:before="0"/>
      <w:ind/>
    </w:pPr>
  </w:style>
  <w:style w:type="paragraph" w:styleId="981">
    <w:name w:val="Title"/>
    <w:basedOn w:val="902"/>
    <w:next w:val="976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</w:rPr>
  </w:style>
  <w:style w:type="paragraph" w:styleId="982">
    <w:name w:val="caption1"/>
    <w:basedOn w:val="902"/>
    <w:next w:val="902"/>
    <w:uiPriority w:val="35"/>
    <w:qFormat/>
    <w:pPr>
      <w:pBdr/>
      <w:spacing/>
      <w:ind/>
    </w:pPr>
    <w:rPr>
      <w:rFonts w:eastAsia="Calibri"/>
      <w:b/>
      <w:bCs/>
      <w:color w:val="4f81bd"/>
      <w:sz w:val="18"/>
      <w:szCs w:val="18"/>
    </w:rPr>
  </w:style>
  <w:style w:type="paragraph" w:styleId="983">
    <w:name w:val="index heading1"/>
    <w:basedOn w:val="981"/>
    <w:qFormat/>
    <w:pPr>
      <w:pBdr/>
      <w:spacing/>
      <w:ind/>
    </w:pPr>
  </w:style>
  <w:style w:type="paragraph" w:styleId="984" w:customStyle="1">
    <w:name w:val="Название раздела инструкции"/>
    <w:basedOn w:val="902"/>
    <w:qFormat/>
    <w:pPr>
      <w:pBdr/>
      <w:spacing/>
      <w:ind/>
      <w:jc w:val="center"/>
    </w:pPr>
    <w:rPr>
      <w:b/>
    </w:rPr>
  </w:style>
  <w:style w:type="paragraph" w:styleId="985" w:customStyle="1">
    <w:name w:val="Раздел положения"/>
    <w:basedOn w:val="902"/>
    <w:qFormat/>
    <w:pPr>
      <w:numPr>
        <w:ilvl w:val="0"/>
        <w:numId w:val="1"/>
      </w:numPr>
      <w:pBdr/>
      <w:spacing w:after="80" w:before="80"/>
      <w:ind/>
      <w:jc w:val="center"/>
    </w:pPr>
    <w:rPr>
      <w:b/>
      <w:sz w:val="32"/>
      <w:szCs w:val="32"/>
    </w:rPr>
  </w:style>
  <w:style w:type="paragraph" w:styleId="986" w:customStyle="1">
    <w:name w:val="Подраздел раздела положения"/>
    <w:basedOn w:val="902"/>
    <w:qFormat/>
    <w:pPr>
      <w:numPr>
        <w:ilvl w:val="1"/>
        <w:numId w:val="1"/>
      </w:numPr>
      <w:pBdr/>
      <w:spacing w:after="80" w:before="80"/>
      <w:ind/>
      <w:jc w:val="both"/>
    </w:pPr>
  </w:style>
  <w:style w:type="paragraph" w:styleId="987">
    <w:name w:val="footnote text"/>
    <w:basedOn w:val="902"/>
    <w:link w:val="957"/>
    <w:uiPriority w:val="99"/>
    <w:pPr>
      <w:pBdr/>
      <w:spacing/>
      <w:ind/>
    </w:pPr>
    <w:rPr>
      <w:sz w:val="20"/>
      <w:szCs w:val="20"/>
    </w:rPr>
  </w:style>
  <w:style w:type="paragraph" w:styleId="988" w:customStyle="1">
    <w:name w:val="Колонтитул"/>
    <w:basedOn w:val="902"/>
    <w:qFormat/>
    <w:pPr>
      <w:pBdr/>
      <w:spacing/>
      <w:ind/>
    </w:pPr>
  </w:style>
  <w:style w:type="paragraph" w:styleId="989">
    <w:name w:val="Header"/>
    <w:basedOn w:val="902"/>
    <w:link w:val="963"/>
    <w:uiPriority w:val="99"/>
    <w:pPr>
      <w:pBdr/>
      <w:tabs>
        <w:tab w:val="clear" w:leader="none" w:pos="708"/>
        <w:tab w:val="center" w:leader="none" w:pos="4677"/>
        <w:tab w:val="right" w:leader="none" w:pos="9355"/>
      </w:tabs>
      <w:spacing/>
      <w:ind/>
    </w:pPr>
    <w:rPr>
      <w:sz w:val="24"/>
      <w:szCs w:val="24"/>
    </w:rPr>
  </w:style>
  <w:style w:type="paragraph" w:styleId="990">
    <w:name w:val="Body Text Indent"/>
    <w:basedOn w:val="902"/>
    <w:pPr>
      <w:pBdr/>
      <w:spacing/>
      <w:ind w:firstLine="0" w:left="360"/>
    </w:pPr>
    <w:rPr>
      <w:sz w:val="24"/>
      <w:szCs w:val="24"/>
    </w:rPr>
  </w:style>
  <w:style w:type="paragraph" w:styleId="991">
    <w:name w:val="Footer"/>
    <w:basedOn w:val="902"/>
    <w:link w:val="970"/>
    <w:uiPriority w:val="99"/>
    <w:pPr>
      <w:pBdr/>
      <w:tabs>
        <w:tab w:val="clear" w:leader="none" w:pos="708"/>
        <w:tab w:val="center" w:leader="none" w:pos="4677"/>
        <w:tab w:val="right" w:leader="none" w:pos="9355"/>
      </w:tabs>
      <w:spacing/>
      <w:ind/>
    </w:pPr>
  </w:style>
  <w:style w:type="paragraph" w:styleId="992">
    <w:name w:val="Body Text Indent 2"/>
    <w:basedOn w:val="902"/>
    <w:qFormat/>
    <w:pPr>
      <w:pBdr/>
      <w:spacing w:after="120" w:before="0" w:line="480" w:lineRule="auto"/>
      <w:ind w:firstLine="0" w:left="283"/>
    </w:pPr>
  </w:style>
  <w:style w:type="paragraph" w:styleId="993">
    <w:name w:val="Body Text 3"/>
    <w:basedOn w:val="902"/>
    <w:qFormat/>
    <w:pPr>
      <w:pBdr/>
      <w:spacing w:after="120" w:before="0"/>
      <w:ind/>
    </w:pPr>
    <w:rPr>
      <w:sz w:val="16"/>
      <w:szCs w:val="16"/>
    </w:rPr>
  </w:style>
  <w:style w:type="paragraph" w:styleId="994">
    <w:name w:val="Body Text Indent 3"/>
    <w:basedOn w:val="902"/>
    <w:qFormat/>
    <w:pPr>
      <w:pBdr/>
      <w:spacing w:after="120" w:before="0"/>
      <w:ind w:firstLine="0" w:left="283"/>
    </w:pPr>
    <w:rPr>
      <w:sz w:val="16"/>
      <w:szCs w:val="16"/>
    </w:rPr>
  </w:style>
  <w:style w:type="paragraph" w:styleId="995">
    <w:name w:val="Body Text 2"/>
    <w:basedOn w:val="902"/>
    <w:qFormat/>
    <w:pPr>
      <w:pBdr/>
      <w:spacing w:after="120" w:before="0" w:line="480" w:lineRule="auto"/>
      <w:ind/>
    </w:pPr>
  </w:style>
  <w:style w:type="paragraph" w:styleId="996">
    <w:name w:val="Block Text"/>
    <w:basedOn w:val="902"/>
    <w:qFormat/>
    <w:pPr>
      <w:pBdr/>
      <w:spacing/>
      <w:ind w:right="-766" w:firstLine="0" w:left="-567"/>
      <w:jc w:val="center"/>
    </w:pPr>
    <w:rPr>
      <w:b/>
      <w:bCs/>
      <w:sz w:val="24"/>
      <w:szCs w:val="20"/>
    </w:rPr>
  </w:style>
  <w:style w:type="paragraph" w:styleId="997" w:customStyle="1">
    <w:name w:val="Подпункт"/>
    <w:basedOn w:val="902"/>
    <w:link w:val="956"/>
    <w:qFormat/>
    <w:pPr>
      <w:pBdr/>
      <w:tabs>
        <w:tab w:val="clear" w:leader="none" w:pos="708"/>
        <w:tab w:val="left" w:leader="none" w:pos="1134"/>
      </w:tabs>
      <w:spacing w:line="360" w:lineRule="auto"/>
      <w:ind w:hanging="1134" w:left="1134"/>
      <w:jc w:val="both"/>
    </w:pPr>
    <w:rPr>
      <w:szCs w:val="20"/>
    </w:rPr>
  </w:style>
  <w:style w:type="paragraph" w:styleId="998">
    <w:name w:val="TOC 1"/>
    <w:basedOn w:val="902"/>
    <w:next w:val="902"/>
    <w:uiPriority w:val="39"/>
    <w:pPr>
      <w:pBdr/>
      <w:spacing w:after="0" w:before="120"/>
      <w:ind/>
    </w:pPr>
    <w:rPr>
      <w:rFonts w:cs="Calibri Light (Заголовки)"/>
      <w:b/>
      <w:bCs/>
      <w:sz w:val="24"/>
      <w:szCs w:val="24"/>
    </w:rPr>
  </w:style>
  <w:style w:type="paragraph" w:styleId="999">
    <w:name w:val="TOC 3"/>
    <w:basedOn w:val="902"/>
    <w:next w:val="902"/>
    <w:uiPriority w:val="39"/>
    <w:pPr>
      <w:pBdr/>
      <w:tabs>
        <w:tab w:val="clear" w:leader="none" w:pos="708"/>
        <w:tab w:val="left" w:leader="none" w:pos="1120"/>
        <w:tab w:val="right" w:leader="dot" w:pos="9911"/>
      </w:tabs>
      <w:spacing/>
      <w:ind w:firstLine="287" w:left="280"/>
    </w:pPr>
    <w:rPr>
      <w:rFonts w:cs="Calibri" w:cstheme="minorHAnsi"/>
      <w:sz w:val="20"/>
      <w:szCs w:val="20"/>
    </w:rPr>
  </w:style>
  <w:style w:type="paragraph" w:styleId="1000" w:customStyle="1">
    <w:name w:val="Раздел регламента"/>
    <w:basedOn w:val="902"/>
    <w:qFormat/>
    <w:pPr>
      <w:pBdr/>
      <w:spacing/>
      <w:ind/>
    </w:pPr>
  </w:style>
  <w:style w:type="paragraph" w:styleId="1001" w:customStyle="1">
    <w:name w:val="Приложение к регламенту"/>
    <w:basedOn w:val="902"/>
    <w:qFormat/>
    <w:pPr>
      <w:pBdr/>
      <w:spacing/>
      <w:ind/>
      <w:jc w:val="right"/>
    </w:pPr>
  </w:style>
  <w:style w:type="paragraph" w:styleId="1002">
    <w:name w:val="TOC 2"/>
    <w:basedOn w:val="902"/>
    <w:next w:val="902"/>
    <w:uiPriority w:val="39"/>
    <w:pPr>
      <w:pBdr/>
      <w:spacing w:after="0" w:before="240"/>
      <w:ind/>
    </w:pPr>
    <w:rPr>
      <w:rFonts w:cs="Calibri" w:cstheme="minorHAnsi"/>
      <w:bCs/>
      <w:sz w:val="20"/>
      <w:szCs w:val="20"/>
    </w:rPr>
  </w:style>
  <w:style w:type="paragraph" w:styleId="1003">
    <w:name w:val="Balloon Text"/>
    <w:basedOn w:val="902"/>
    <w:semiHidden/>
    <w:qFormat/>
    <w:pPr>
      <w:pBdr/>
      <w:spacing/>
      <w:ind/>
    </w:pPr>
    <w:rPr>
      <w:rFonts w:ascii="Tahoma" w:hAnsi="Tahoma" w:cs="Tahoma"/>
      <w:sz w:val="16"/>
      <w:szCs w:val="16"/>
    </w:rPr>
  </w:style>
  <w:style w:type="paragraph" w:styleId="1004">
    <w:name w:val="annotation text"/>
    <w:basedOn w:val="902"/>
    <w:link w:val="964"/>
    <w:semiHidden/>
    <w:qFormat/>
    <w:pPr>
      <w:pBdr/>
      <w:spacing/>
      <w:ind/>
    </w:pPr>
    <w:rPr>
      <w:sz w:val="20"/>
      <w:szCs w:val="20"/>
    </w:rPr>
  </w:style>
  <w:style w:type="paragraph" w:styleId="1005">
    <w:name w:val="annotation subject"/>
    <w:basedOn w:val="1004"/>
    <w:next w:val="1004"/>
    <w:semiHidden/>
    <w:qFormat/>
    <w:pPr>
      <w:pBdr/>
      <w:spacing/>
      <w:ind/>
    </w:pPr>
    <w:rPr>
      <w:b/>
      <w:bCs/>
    </w:rPr>
  </w:style>
  <w:style w:type="paragraph" w:styleId="1006">
    <w:name w:val="TOC 9"/>
    <w:basedOn w:val="902"/>
    <w:next w:val="902"/>
    <w:semiHidden/>
    <w:pPr>
      <w:pBdr/>
      <w:spacing/>
      <w:ind w:firstLine="0" w:left="1960"/>
    </w:pPr>
    <w:rPr>
      <w:rFonts w:ascii="Calibri" w:hAnsi="Calibri" w:cs="Calibri" w:asciiTheme="minorHAnsi" w:hAnsiTheme="minorHAnsi" w:cstheme="minorHAnsi"/>
      <w:sz w:val="20"/>
      <w:szCs w:val="20"/>
    </w:rPr>
  </w:style>
  <w:style w:type="paragraph" w:styleId="1007">
    <w:name w:val="TOC 5"/>
    <w:basedOn w:val="902"/>
    <w:next w:val="902"/>
    <w:semiHidden/>
    <w:pPr>
      <w:pBdr/>
      <w:spacing/>
      <w:ind w:firstLine="0" w:left="840"/>
    </w:pPr>
    <w:rPr>
      <w:rFonts w:ascii="Calibri" w:hAnsi="Calibri" w:cs="Calibri" w:asciiTheme="minorHAnsi" w:hAnsiTheme="minorHAnsi" w:cstheme="minorHAnsi"/>
      <w:sz w:val="20"/>
      <w:szCs w:val="20"/>
    </w:rPr>
  </w:style>
  <w:style w:type="paragraph" w:styleId="1008">
    <w:name w:val="TOC 4"/>
    <w:basedOn w:val="902"/>
    <w:next w:val="902"/>
    <w:uiPriority w:val="39"/>
    <w:pPr>
      <w:pBdr/>
      <w:tabs>
        <w:tab w:val="clear" w:leader="none" w:pos="708"/>
        <w:tab w:val="left" w:leader="none" w:pos="1120"/>
        <w:tab w:val="right" w:leader="none" w:pos="9911"/>
      </w:tabs>
      <w:spacing/>
      <w:ind w:firstLine="0" w:left="560"/>
    </w:pPr>
    <w:rPr>
      <w:rFonts w:cs="Calibri" w:cstheme="minorHAnsi"/>
      <w:sz w:val="20"/>
      <w:szCs w:val="20"/>
    </w:rPr>
  </w:style>
  <w:style w:type="paragraph" w:styleId="1009" w:customStyle="1">
    <w:name w:val="Знак Знак Знак Знак Знак Знак Знак Знак Знак"/>
    <w:basedOn w:val="902"/>
    <w:qFormat/>
    <w:pPr>
      <w:pBdr/>
      <w:spacing w:after="160" w:before="0" w:line="240" w:lineRule="exact"/>
      <w:ind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1010">
    <w:name w:val="No Spacing"/>
    <w:basedOn w:val="902"/>
    <w:uiPriority w:val="1"/>
    <w:qFormat/>
    <w:pPr>
      <w:pBdr/>
      <w:spacing w:line="360" w:lineRule="auto"/>
      <w:ind/>
    </w:pPr>
    <w:rPr>
      <w:rFonts w:eastAsia="Calibri"/>
      <w:sz w:val="24"/>
      <w:szCs w:val="24"/>
    </w:rPr>
  </w:style>
  <w:style w:type="paragraph" w:styleId="1011">
    <w:name w:val="Subtitle"/>
    <w:basedOn w:val="902"/>
    <w:next w:val="902"/>
    <w:link w:val="947"/>
    <w:uiPriority w:val="11"/>
    <w:qFormat/>
    <w:pPr>
      <w:pBdr/>
      <w:spacing/>
      <w:ind w:firstLine="709" w:left="1066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styleId="1012">
    <w:name w:val="List Paragraph"/>
    <w:basedOn w:val="902"/>
    <w:link w:val="960"/>
    <w:uiPriority w:val="34"/>
    <w:qFormat/>
    <w:pPr>
      <w:pBdr/>
      <w:spacing w:after="0" w:before="0"/>
      <w:ind w:firstLine="0" w:left="720"/>
      <w:contextualSpacing w:val="true"/>
    </w:pPr>
    <w:rPr>
      <w:rFonts w:eastAsia="Calibri"/>
      <w:sz w:val="24"/>
      <w:szCs w:val="24"/>
    </w:rPr>
  </w:style>
  <w:style w:type="paragraph" w:styleId="1013">
    <w:name w:val="Quote"/>
    <w:basedOn w:val="902"/>
    <w:next w:val="902"/>
    <w:uiPriority w:val="29"/>
    <w:qFormat/>
    <w:pPr>
      <w:pBdr/>
      <w:spacing/>
      <w:ind/>
    </w:pPr>
    <w:rPr>
      <w:rFonts w:ascii="Calibri" w:hAnsi="Calibri" w:eastAsia="Calibri"/>
      <w:i/>
      <w:iCs/>
      <w:color w:val="000000"/>
      <w:sz w:val="20"/>
      <w:szCs w:val="20"/>
    </w:rPr>
  </w:style>
  <w:style w:type="paragraph" w:styleId="1014">
    <w:name w:val="Intense Quote"/>
    <w:basedOn w:val="902"/>
    <w:next w:val="902"/>
    <w:link w:val="949"/>
    <w:uiPriority w:val="30"/>
    <w:qFormat/>
    <w:pPr>
      <w:pBdr>
        <w:bottom w:val="single" w:color="4f81bd" w:sz="4" w:space="4"/>
      </w:pBdr>
      <w:spacing w:after="280" w:before="200"/>
      <w:ind w:right="936" w:firstLine="0" w:left="936"/>
    </w:pPr>
    <w:rPr>
      <w:rFonts w:ascii="Calibri" w:hAnsi="Calibri" w:eastAsia="Calibri"/>
      <w:b/>
      <w:bCs/>
      <w:i/>
      <w:iCs/>
      <w:color w:val="4f81bd"/>
      <w:sz w:val="20"/>
      <w:szCs w:val="20"/>
    </w:rPr>
  </w:style>
  <w:style w:type="paragraph" w:styleId="1015">
    <w:name w:val="Index Heading"/>
    <w:basedOn w:val="975"/>
    <w:pPr>
      <w:pBdr/>
      <w:spacing/>
      <w:ind/>
    </w:pPr>
  </w:style>
  <w:style w:type="paragraph" w:styleId="1016">
    <w:name w:val="TOC Heading"/>
    <w:basedOn w:val="903"/>
    <w:next w:val="902"/>
    <w:uiPriority w:val="39"/>
    <w:qFormat/>
    <w:pPr>
      <w:keepLines w:val="true"/>
      <w:pBdr/>
      <w:spacing w:after="60" w:before="480"/>
      <w:ind/>
      <w:outlineLvl w:val="9"/>
    </w:pPr>
    <w:rPr>
      <w:rFonts w:ascii="Cambria" w:hAnsi="Cambria"/>
      <w:bCs/>
      <w:color w:val="365f91"/>
    </w:rPr>
  </w:style>
  <w:style w:type="paragraph" w:styleId="1017">
    <w:name w:val="E-mail Signature"/>
    <w:basedOn w:val="902"/>
    <w:link w:val="955"/>
    <w:uiPriority w:val="99"/>
    <w:unhideWhenUsed/>
    <w:qFormat/>
    <w:pPr>
      <w:pBdr/>
      <w:spacing/>
      <w:ind/>
    </w:pPr>
    <w:rPr>
      <w:rFonts w:eastAsia="Calibri"/>
      <w:sz w:val="24"/>
      <w:szCs w:val="24"/>
    </w:rPr>
  </w:style>
  <w:style w:type="paragraph" w:styleId="1018" w:customStyle="1">
    <w:name w:val="Знак"/>
    <w:basedOn w:val="902"/>
    <w:qFormat/>
    <w:pPr>
      <w:pBdr/>
      <w:spacing w:after="160" w:before="0" w:line="240" w:lineRule="exact"/>
      <w:ind/>
    </w:pPr>
    <w:rPr>
      <w:rFonts w:ascii="Verdana" w:hAnsi="Verdana" w:cs="Verdana"/>
      <w:sz w:val="20"/>
      <w:szCs w:val="20"/>
      <w:lang w:val="en-US" w:eastAsia="en-US"/>
    </w:rPr>
  </w:style>
  <w:style w:type="paragraph" w:styleId="1019">
    <w:name w:val="Revision"/>
    <w:uiPriority w:val="99"/>
    <w:semiHidden/>
    <w:qFormat/>
    <w:pPr>
      <w:widowControl w:val="true"/>
      <w:pBdr/>
      <w:bidi w:val="false"/>
      <w:spacing w:after="0" w:before="0"/>
      <w:ind/>
      <w:jc w:val="left"/>
    </w:pPr>
    <w:rPr>
      <w:rFonts w:ascii="Times New Roman" w:hAnsi="Times New Roman" w:eastAsia="Calibri" w:cs="Times New Roman"/>
      <w:color w:val="auto"/>
      <w:sz w:val="24"/>
      <w:szCs w:val="24"/>
      <w:lang w:val="ru-RU" w:eastAsia="ru-RU" w:bidi="ar-SA"/>
    </w:rPr>
  </w:style>
  <w:style w:type="paragraph" w:styleId="1020" w:customStyle="1">
    <w:name w:val="ConsPlusNormal"/>
    <w:qFormat/>
    <w:pPr>
      <w:widowControl w:val="false"/>
      <w:pBdr/>
      <w:bidi w:val="false"/>
      <w:spacing w:after="0" w:before="0"/>
      <w:ind w:firstLine="720"/>
      <w:jc w:val="left"/>
    </w:pPr>
    <w:rPr>
      <w:rFonts w:ascii="Arial" w:hAnsi="Arial" w:eastAsia="Times New Roman" w:cs="Arial"/>
      <w:color w:val="auto"/>
      <w:sz w:val="20"/>
      <w:szCs w:val="20"/>
      <w:lang w:val="ru-RU" w:eastAsia="ru-RU" w:bidi="ar-SA"/>
    </w:rPr>
  </w:style>
  <w:style w:type="paragraph" w:styleId="1021" w:customStyle="1">
    <w:name w:val="Пункт"/>
    <w:basedOn w:val="902"/>
    <w:qFormat/>
    <w:pPr>
      <w:widowControl w:val="false"/>
      <w:pBdr/>
      <w:tabs>
        <w:tab w:val="clear" w:leader="none" w:pos="708"/>
        <w:tab w:val="left" w:leader="none" w:pos="1134"/>
      </w:tabs>
      <w:spacing w:after="0" w:before="120" w:line="360" w:lineRule="auto"/>
      <w:ind w:right="800" w:hanging="1134" w:left="1134"/>
      <w:jc w:val="both"/>
    </w:pPr>
    <w:rPr>
      <w:rFonts w:ascii="Arial" w:hAnsi="Arial"/>
      <w:b/>
      <w:i/>
      <w:szCs w:val="20"/>
    </w:rPr>
  </w:style>
  <w:style w:type="paragraph" w:styleId="1022" w:customStyle="1">
    <w:name w:val="Таблица"/>
    <w:basedOn w:val="902"/>
    <w:qFormat/>
    <w:pPr>
      <w:keepNext w:val="true"/>
      <w:pBdr/>
      <w:spacing w:after="60" w:before="60"/>
      <w:ind/>
      <w:jc w:val="center"/>
    </w:pPr>
    <w:rPr>
      <w:rFonts w:eastAsia="Calibri"/>
      <w:b/>
      <w:sz w:val="24"/>
      <w:szCs w:val="24"/>
    </w:rPr>
  </w:style>
  <w:style w:type="paragraph" w:styleId="1023" w:customStyle="1">
    <w:name w:val="Таблица шапка"/>
    <w:basedOn w:val="902"/>
    <w:qFormat/>
    <w:pPr>
      <w:keepNext w:val="true"/>
      <w:pBdr/>
      <w:spacing w:after="40" w:before="40"/>
      <w:ind w:right="57" w:firstLine="0" w:left="57"/>
    </w:pPr>
    <w:rPr>
      <w:sz w:val="22"/>
      <w:szCs w:val="26"/>
    </w:rPr>
  </w:style>
  <w:style w:type="paragraph" w:styleId="1024" w:customStyle="1">
    <w:name w:val="Подподпункт"/>
    <w:basedOn w:val="997"/>
    <w:link w:val="962"/>
    <w:qFormat/>
    <w:pPr>
      <w:pBdr/>
      <w:tabs>
        <w:tab w:val="clear" w:leader="none" w:pos="1134"/>
        <w:tab w:val="left" w:leader="none" w:pos="5104"/>
      </w:tabs>
      <w:spacing w:after="0" w:before="120" w:line="240" w:lineRule="auto"/>
      <w:ind w:hanging="567" w:left="5104"/>
    </w:pPr>
    <w:rPr>
      <w:sz w:val="26"/>
      <w:szCs w:val="26"/>
      <w:lang w:val="ru-RU" w:eastAsia="ru-RU"/>
    </w:rPr>
  </w:style>
  <w:style w:type="paragraph" w:styleId="1025" w:customStyle="1">
    <w:name w:val="УРОВЕНЬ_(а)"/>
    <w:basedOn w:val="1012"/>
    <w:qFormat/>
    <w:pPr>
      <w:numPr>
        <w:ilvl w:val="3"/>
        <w:numId w:val="3"/>
      </w:numPr>
      <w:pBdr/>
      <w:spacing w:after="0" w:before="120" w:line="360" w:lineRule="exact"/>
      <w:ind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1026" w:customStyle="1">
    <w:name w:val="УРОВЕНЬ_-"/>
    <w:basedOn w:val="1012"/>
    <w:qFormat/>
    <w:pPr>
      <w:numPr>
        <w:ilvl w:val="4"/>
        <w:numId w:val="3"/>
      </w:numPr>
      <w:pBdr/>
      <w:spacing w:after="0" w:before="120" w:line="360" w:lineRule="exact"/>
      <w:ind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1027" w:customStyle="1">
    <w:name w:val="УРОВЕНЬ_Подпись"/>
    <w:basedOn w:val="1012"/>
    <w:qFormat/>
    <w:pPr>
      <w:keepNext w:val="true"/>
      <w:numPr>
        <w:ilvl w:val="5"/>
        <w:numId w:val="3"/>
      </w:numPr>
      <w:pBdr/>
      <w:spacing w:after="120" w:before="120" w:line="360" w:lineRule="exact"/>
      <w:ind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028">
    <w:name w:val="endnote text"/>
    <w:basedOn w:val="902"/>
    <w:link w:val="965"/>
    <w:pPr>
      <w:pBdr/>
      <w:spacing/>
      <w:ind/>
    </w:pPr>
    <w:rPr>
      <w:sz w:val="20"/>
      <w:szCs w:val="20"/>
    </w:rPr>
  </w:style>
  <w:style w:type="paragraph" w:styleId="1029" w:customStyle="1">
    <w:name w:val="Таблица текст"/>
    <w:basedOn w:val="902"/>
    <w:qFormat/>
    <w:pPr>
      <w:pBdr/>
      <w:spacing w:after="40" w:before="40"/>
      <w:ind w:right="57" w:firstLine="0" w:left="57"/>
    </w:pPr>
    <w:rPr>
      <w:sz w:val="24"/>
      <w:szCs w:val="26"/>
    </w:rPr>
  </w:style>
  <w:style w:type="paragraph" w:styleId="1030">
    <w:name w:val="Normal (Web)"/>
    <w:basedOn w:val="902"/>
    <w:uiPriority w:val="99"/>
    <w:unhideWhenUsed/>
    <w:qFormat/>
    <w:pPr>
      <w:pBdr/>
      <w:spacing w:afterAutospacing="1" w:beforeAutospacing="1"/>
      <w:ind/>
    </w:pPr>
    <w:rPr>
      <w:sz w:val="24"/>
      <w:szCs w:val="24"/>
    </w:rPr>
  </w:style>
  <w:style w:type="paragraph" w:styleId="1031">
    <w:name w:val="TOC 6"/>
    <w:basedOn w:val="902"/>
    <w:next w:val="902"/>
    <w:unhideWhenUsed/>
    <w:pPr>
      <w:pBdr/>
      <w:spacing/>
      <w:ind w:firstLine="0" w:left="1120"/>
    </w:pPr>
    <w:rPr>
      <w:rFonts w:ascii="Calibri" w:hAnsi="Calibri" w:cs="Calibri" w:asciiTheme="minorHAnsi" w:hAnsiTheme="minorHAnsi" w:cstheme="minorHAnsi"/>
      <w:sz w:val="20"/>
      <w:szCs w:val="20"/>
    </w:rPr>
  </w:style>
  <w:style w:type="paragraph" w:styleId="1032">
    <w:name w:val="TOC 7"/>
    <w:basedOn w:val="902"/>
    <w:next w:val="902"/>
    <w:unhideWhenUsed/>
    <w:pPr>
      <w:pBdr/>
      <w:spacing/>
      <w:ind w:firstLine="0" w:left="1400"/>
    </w:pPr>
    <w:rPr>
      <w:rFonts w:ascii="Calibri" w:hAnsi="Calibri" w:cs="Calibri" w:asciiTheme="minorHAnsi" w:hAnsiTheme="minorHAnsi" w:cstheme="minorHAnsi"/>
      <w:sz w:val="20"/>
      <w:szCs w:val="20"/>
    </w:rPr>
  </w:style>
  <w:style w:type="paragraph" w:styleId="1033">
    <w:name w:val="TOC 8"/>
    <w:basedOn w:val="902"/>
    <w:next w:val="902"/>
    <w:unhideWhenUsed/>
    <w:pPr>
      <w:pBdr/>
      <w:spacing/>
      <w:ind w:firstLine="0" w:left="1680"/>
    </w:pPr>
    <w:rPr>
      <w:rFonts w:ascii="Calibri" w:hAnsi="Calibri" w:cs="Calibri" w:asciiTheme="minorHAnsi" w:hAnsiTheme="minorHAnsi" w:cstheme="minorHAnsi"/>
      <w:sz w:val="20"/>
      <w:szCs w:val="20"/>
    </w:rPr>
  </w:style>
  <w:style w:type="paragraph" w:styleId="1034" w:customStyle="1">
    <w:name w:val="font5"/>
    <w:basedOn w:val="902"/>
    <w:qFormat/>
    <w:pPr>
      <w:pBdr/>
      <w:spacing w:afterAutospacing="1" w:beforeAutospacing="1"/>
      <w:ind/>
    </w:pPr>
    <w:rPr>
      <w:b/>
      <w:bCs/>
      <w:color w:val="000000"/>
      <w:sz w:val="22"/>
      <w:szCs w:val="22"/>
    </w:rPr>
  </w:style>
  <w:style w:type="paragraph" w:styleId="1035" w:customStyle="1">
    <w:name w:val="xl2073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36" w:customStyle="1">
    <w:name w:val="xl2074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37" w:customStyle="1">
    <w:name w:val="xl2075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38" w:customStyle="1">
    <w:name w:val="xl2076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39" w:customStyle="1">
    <w:name w:val="xl2077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40" w:customStyle="1">
    <w:name w:val="xl2078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0"/>
      <w:szCs w:val="20"/>
    </w:rPr>
  </w:style>
  <w:style w:type="paragraph" w:styleId="1041" w:customStyle="1">
    <w:name w:val="xl2079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0"/>
      <w:szCs w:val="20"/>
    </w:rPr>
  </w:style>
  <w:style w:type="paragraph" w:styleId="1042" w:customStyle="1">
    <w:name w:val="xl2080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0"/>
      <w:szCs w:val="20"/>
    </w:rPr>
  </w:style>
  <w:style w:type="paragraph" w:styleId="1043" w:customStyle="1">
    <w:name w:val="xl2081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0"/>
      <w:szCs w:val="20"/>
    </w:rPr>
  </w:style>
  <w:style w:type="paragraph" w:styleId="1044" w:customStyle="1">
    <w:name w:val="xl2082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45" w:customStyle="1">
    <w:name w:val="xl2083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0"/>
      <w:szCs w:val="20"/>
    </w:rPr>
  </w:style>
  <w:style w:type="paragraph" w:styleId="1046" w:customStyle="1">
    <w:name w:val="xl2084"/>
    <w:basedOn w:val="902"/>
    <w:qFormat/>
    <w:pPr>
      <w:pBdr>
        <w:bottom w:val="single" w:color="000000" w:sz="4" w:space="0"/>
      </w:pBdr>
      <w:spacing w:afterAutospacing="1" w:beforeAutospacing="1"/>
      <w:ind/>
      <w:jc w:val="center"/>
    </w:pPr>
    <w:rPr>
      <w:b/>
      <w:bCs/>
      <w:sz w:val="24"/>
      <w:szCs w:val="24"/>
    </w:rPr>
  </w:style>
  <w:style w:type="paragraph" w:styleId="1047" w:customStyle="1">
    <w:name w:val="xl2085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4"/>
      <w:szCs w:val="24"/>
    </w:rPr>
  </w:style>
  <w:style w:type="paragraph" w:styleId="1048" w:customStyle="1">
    <w:name w:val="xl2086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color w:val="000000"/>
      <w:sz w:val="24"/>
      <w:szCs w:val="24"/>
    </w:rPr>
  </w:style>
  <w:style w:type="paragraph" w:styleId="1049" w:customStyle="1">
    <w:name w:val="xl2087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color w:val="000000"/>
      <w:sz w:val="24"/>
      <w:szCs w:val="24"/>
    </w:rPr>
  </w:style>
  <w:style w:type="paragraph" w:styleId="1050" w:customStyle="1">
    <w:name w:val="xl2088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4"/>
      <w:szCs w:val="24"/>
    </w:rPr>
  </w:style>
  <w:style w:type="paragraph" w:styleId="1051" w:customStyle="1">
    <w:name w:val="xl2089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52" w:customStyle="1">
    <w:name w:val="xl2090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53" w:customStyle="1">
    <w:name w:val="xl2091"/>
    <w:basedOn w:val="902"/>
    <w:qFormat/>
    <w:pPr>
      <w:pBdr>
        <w:top w:val="single" w:color="993300" w:sz="4" w:space="0"/>
        <w:left w:val="single" w:color="993300" w:sz="4" w:space="0"/>
        <w:bottom w:val="single" w:color="993300" w:sz="4" w:space="0"/>
        <w:right w:val="single" w:color="993300" w:sz="4" w:space="0"/>
      </w:pBdr>
      <w:shd w:val="clear" w:color="000000" w:fill="ffffff"/>
      <w:spacing w:afterAutospacing="1" w:beforeAutospacing="1"/>
      <w:ind/>
      <w:jc w:val="center"/>
    </w:pPr>
    <w:rPr>
      <w:color w:val="000000"/>
      <w:sz w:val="20"/>
      <w:szCs w:val="20"/>
    </w:rPr>
  </w:style>
  <w:style w:type="paragraph" w:styleId="1054" w:customStyle="1">
    <w:name w:val="xl2092"/>
    <w:basedOn w:val="902"/>
    <w:qFormat/>
    <w:pPr>
      <w:pBdr/>
      <w:spacing w:afterAutospacing="1" w:beforeAutospacing="1"/>
      <w:ind/>
      <w:jc w:val="center"/>
    </w:pPr>
    <w:rPr>
      <w:b/>
      <w:bCs/>
      <w:sz w:val="24"/>
      <w:szCs w:val="24"/>
    </w:rPr>
  </w:style>
  <w:style w:type="paragraph" w:styleId="1055" w:customStyle="1">
    <w:name w:val="xl94"/>
    <w:basedOn w:val="902"/>
    <w:qFormat/>
    <w:pPr>
      <w:pBdr>
        <w:left w:val="single" w:color="000000" w:sz="8" w:space="0"/>
        <w:bottom w:val="single" w:color="000000" w:sz="8" w:space="0"/>
        <w:right w:val="single" w:color="000000" w:sz="8" w:space="0"/>
      </w:pBdr>
      <w:spacing w:afterAutospacing="1" w:beforeAutospacing="1"/>
      <w:ind/>
    </w:pPr>
    <w:rPr>
      <w:sz w:val="24"/>
      <w:szCs w:val="24"/>
    </w:rPr>
  </w:style>
  <w:style w:type="paragraph" w:styleId="1056" w:customStyle="1">
    <w:name w:val="Содержимое врезки"/>
    <w:basedOn w:val="902"/>
    <w:qFormat/>
    <w:pPr>
      <w:pBdr/>
      <w:spacing/>
      <w:ind/>
    </w:pPr>
  </w:style>
  <w:style w:type="paragraph" w:styleId="1057" w:customStyle="1">
    <w:name w:val="Содержимое таблицы"/>
    <w:basedOn w:val="902"/>
    <w:qFormat/>
    <w:pPr>
      <w:widowControl w:val="false"/>
      <w:suppressLineNumbers w:val="true"/>
      <w:pBdr/>
      <w:spacing/>
      <w:ind/>
    </w:pPr>
  </w:style>
  <w:style w:type="paragraph" w:styleId="1058" w:customStyle="1">
    <w:name w:val="Заголовок таблицы"/>
    <w:basedOn w:val="1057"/>
    <w:qFormat/>
    <w:pPr>
      <w:pBdr/>
      <w:spacing/>
      <w:ind/>
      <w:jc w:val="center"/>
    </w:pPr>
    <w:rPr>
      <w:b/>
      <w:bCs/>
    </w:rPr>
  </w:style>
  <w:style w:type="paragraph" w:styleId="1059" w:customStyle="1">
    <w:name w:val="Основной текст 31"/>
    <w:basedOn w:val="902"/>
    <w:qFormat/>
    <w:pPr>
      <w:pBdr/>
      <w:spacing/>
      <w:ind/>
      <w:jc w:val="both"/>
    </w:pPr>
    <w:rPr>
      <w:sz w:val="20"/>
      <w:szCs w:val="20"/>
      <w:lang w:eastAsia="zh-CN"/>
    </w:rPr>
  </w:style>
  <w:style w:type="paragraph" w:styleId="1060" w:customStyle="1">
    <w:name w:val="msonormal"/>
    <w:basedOn w:val="902"/>
    <w:qFormat/>
    <w:pPr>
      <w:pBdr/>
      <w:spacing w:afterAutospacing="1" w:beforeAutospacing="1"/>
      <w:ind/>
    </w:pPr>
    <w:rPr>
      <w:sz w:val="24"/>
      <w:szCs w:val="24"/>
    </w:rPr>
  </w:style>
  <w:style w:type="paragraph" w:styleId="1061" w:customStyle="1">
    <w:name w:val="xl67"/>
    <w:basedOn w:val="902"/>
    <w:qFormat/>
    <w:pPr>
      <w:pBdr/>
      <w:spacing w:afterAutospacing="1" w:beforeAutospacing="1"/>
      <w:ind/>
      <w:jc w:val="center"/>
    </w:pPr>
    <w:rPr>
      <w:sz w:val="24"/>
      <w:szCs w:val="24"/>
    </w:rPr>
  </w:style>
  <w:style w:type="paragraph" w:styleId="1062" w:customStyle="1">
    <w:name w:val="xl68"/>
    <w:basedOn w:val="902"/>
    <w:qFormat/>
    <w:pPr>
      <w:pBdr/>
      <w:spacing w:afterAutospacing="1" w:beforeAutospacing="1"/>
      <w:ind/>
      <w:jc w:val="center"/>
    </w:pPr>
    <w:rPr>
      <w:sz w:val="24"/>
      <w:szCs w:val="24"/>
    </w:rPr>
  </w:style>
  <w:style w:type="paragraph" w:styleId="1063" w:customStyle="1">
    <w:name w:val="xl69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64" w:customStyle="1">
    <w:name w:val="xl70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65" w:customStyle="1">
    <w:name w:val="xl71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66" w:customStyle="1">
    <w:name w:val="xl72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67" w:customStyle="1">
    <w:name w:val="xl73"/>
    <w:basedOn w:val="902"/>
    <w:qFormat/>
    <w:pPr>
      <w:pBdr/>
      <w:spacing w:afterAutospacing="1" w:beforeAutospacing="1"/>
      <w:ind/>
      <w:jc w:val="center"/>
    </w:pPr>
    <w:rPr>
      <w:sz w:val="20"/>
      <w:szCs w:val="20"/>
    </w:rPr>
  </w:style>
  <w:style w:type="paragraph" w:styleId="1068" w:customStyle="1">
    <w:name w:val="xl74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69" w:customStyle="1">
    <w:name w:val="xl75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70" w:customStyle="1">
    <w:name w:val="xl76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71" w:customStyle="1">
    <w:name w:val="xl77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72" w:customStyle="1">
    <w:name w:val="xl78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73" w:customStyle="1">
    <w:name w:val="xl79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</w:pPr>
    <w:rPr>
      <w:sz w:val="24"/>
      <w:szCs w:val="24"/>
    </w:rPr>
  </w:style>
  <w:style w:type="paragraph" w:styleId="1074" w:customStyle="1">
    <w:name w:val="xl80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75" w:customStyle="1">
    <w:name w:val="xl81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76" w:customStyle="1">
    <w:name w:val="xl82"/>
    <w:basedOn w:val="902"/>
    <w:qFormat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77" w:customStyle="1">
    <w:name w:val="xl83"/>
    <w:basedOn w:val="902"/>
    <w:qFormat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color w:val="000000"/>
      <w:sz w:val="20"/>
      <w:szCs w:val="20"/>
    </w:rPr>
  </w:style>
  <w:style w:type="paragraph" w:styleId="1078" w:customStyle="1">
    <w:name w:val="xl84"/>
    <w:basedOn w:val="902"/>
    <w:qFormat/>
    <w:pPr>
      <w:pBdr>
        <w:left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color w:val="000000"/>
      <w:sz w:val="20"/>
      <w:szCs w:val="20"/>
    </w:rPr>
  </w:style>
  <w:style w:type="paragraph" w:styleId="1079" w:customStyle="1">
    <w:name w:val="xl85"/>
    <w:basedOn w:val="902"/>
    <w:qFormat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color w:val="000000"/>
      <w:sz w:val="20"/>
      <w:szCs w:val="20"/>
    </w:rPr>
  </w:style>
  <w:style w:type="paragraph" w:styleId="1080" w:customStyle="1">
    <w:name w:val="xl86"/>
    <w:basedOn w:val="902"/>
    <w:qFormat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81" w:customStyle="1">
    <w:name w:val="xl87"/>
    <w:basedOn w:val="902"/>
    <w:qFormat/>
    <w:pPr>
      <w:pBdr>
        <w:left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082" w:customStyle="1">
    <w:name w:val="xl88"/>
    <w:basedOn w:val="902"/>
    <w:qFormat/>
    <w:pPr>
      <w:pBdr>
        <w:top w:val="single" w:color="000000" w:sz="4" w:space="0"/>
        <w:left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83" w:customStyle="1">
    <w:name w:val="xl89"/>
    <w:basedOn w:val="902"/>
    <w:qFormat/>
    <w:pPr>
      <w:pBdr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84" w:customStyle="1">
    <w:name w:val="xl90"/>
    <w:basedOn w:val="902"/>
    <w:qFormat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85" w:customStyle="1">
    <w:name w:val="xl91"/>
    <w:basedOn w:val="902"/>
    <w:qFormat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86" w:customStyle="1">
    <w:name w:val="xl92"/>
    <w:basedOn w:val="902"/>
    <w:qFormat/>
    <w:pPr>
      <w:pBdr>
        <w:top w:val="single" w:color="000000" w:sz="4" w:space="0"/>
        <w:left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87" w:customStyle="1">
    <w:name w:val="xl93"/>
    <w:basedOn w:val="902"/>
    <w:qFormat/>
    <w:pPr>
      <w:pBdr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88" w:customStyle="1">
    <w:name w:val="xl95"/>
    <w:basedOn w:val="902"/>
    <w:qFormat/>
    <w:pPr>
      <w:pBdr>
        <w:top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89" w:customStyle="1">
    <w:name w:val="xl96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90" w:customStyle="1">
    <w:name w:val="xl97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091" w:customStyle="1">
    <w:name w:val="font6"/>
    <w:basedOn w:val="902"/>
    <w:qFormat/>
    <w:pPr>
      <w:pBdr/>
      <w:spacing w:afterAutospacing="1" w:beforeAutospacing="1"/>
      <w:ind/>
    </w:pPr>
    <w:rPr>
      <w:b/>
      <w:bCs/>
      <w:color w:val="000000"/>
      <w:sz w:val="24"/>
      <w:szCs w:val="24"/>
    </w:rPr>
  </w:style>
  <w:style w:type="paragraph" w:styleId="1092" w:customStyle="1">
    <w:name w:val="xl11937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4"/>
      <w:szCs w:val="24"/>
    </w:rPr>
  </w:style>
  <w:style w:type="paragraph" w:styleId="1093" w:customStyle="1">
    <w:name w:val="xl11938"/>
    <w:basedOn w:val="902"/>
    <w:qFormat/>
    <w:pPr>
      <w:pBdr/>
      <w:shd w:val="clear" w:color="000000" w:fill="ffffff"/>
      <w:spacing w:afterAutospacing="1" w:beforeAutospacing="1"/>
      <w:ind/>
    </w:pPr>
    <w:rPr>
      <w:sz w:val="24"/>
      <w:szCs w:val="24"/>
    </w:rPr>
  </w:style>
  <w:style w:type="paragraph" w:styleId="1094" w:customStyle="1">
    <w:name w:val="xl11939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4"/>
      <w:szCs w:val="24"/>
    </w:rPr>
  </w:style>
  <w:style w:type="paragraph" w:styleId="1095" w:customStyle="1">
    <w:name w:val="xl11940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4"/>
      <w:szCs w:val="24"/>
    </w:rPr>
  </w:style>
  <w:style w:type="paragraph" w:styleId="1096" w:customStyle="1">
    <w:name w:val="xl11941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</w:pPr>
    <w:rPr>
      <w:sz w:val="24"/>
      <w:szCs w:val="24"/>
    </w:rPr>
  </w:style>
  <w:style w:type="paragraph" w:styleId="1097" w:customStyle="1">
    <w:name w:val="xl11942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</w:pPr>
    <w:rPr>
      <w:b/>
      <w:bCs/>
      <w:sz w:val="24"/>
      <w:szCs w:val="24"/>
    </w:rPr>
  </w:style>
  <w:style w:type="paragraph" w:styleId="1098" w:customStyle="1">
    <w:name w:val="xl11943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4"/>
      <w:szCs w:val="24"/>
    </w:rPr>
  </w:style>
  <w:style w:type="paragraph" w:styleId="1099" w:customStyle="1">
    <w:name w:val="xl11944"/>
    <w:basedOn w:val="902"/>
    <w:qFormat/>
    <w:pPr>
      <w:pBdr/>
      <w:shd w:val="clear" w:color="000000" w:fill="ffffff"/>
      <w:spacing w:afterAutospacing="1" w:beforeAutospacing="1"/>
      <w:ind/>
    </w:pPr>
    <w:rPr>
      <w:sz w:val="24"/>
      <w:szCs w:val="24"/>
    </w:rPr>
  </w:style>
  <w:style w:type="paragraph" w:styleId="1100" w:customStyle="1">
    <w:name w:val="xl11945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4"/>
      <w:szCs w:val="24"/>
    </w:rPr>
  </w:style>
  <w:style w:type="paragraph" w:styleId="1101" w:customStyle="1">
    <w:name w:val="xl11946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4"/>
      <w:szCs w:val="24"/>
    </w:rPr>
  </w:style>
  <w:style w:type="paragraph" w:styleId="1102" w:customStyle="1">
    <w:name w:val="xl11947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color w:val="000000"/>
      <w:sz w:val="24"/>
      <w:szCs w:val="24"/>
    </w:rPr>
  </w:style>
  <w:style w:type="paragraph" w:styleId="1103" w:customStyle="1">
    <w:name w:val="xl11948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</w:pPr>
    <w:rPr>
      <w:b/>
      <w:bCs/>
      <w:sz w:val="24"/>
      <w:szCs w:val="24"/>
    </w:rPr>
  </w:style>
  <w:style w:type="paragraph" w:styleId="1104" w:customStyle="1">
    <w:name w:val="xl11949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</w:pPr>
    <w:rPr>
      <w:b/>
      <w:bCs/>
      <w:sz w:val="24"/>
      <w:szCs w:val="24"/>
    </w:rPr>
  </w:style>
  <w:style w:type="paragraph" w:styleId="1105" w:customStyle="1">
    <w:name w:val="xl11950"/>
    <w:basedOn w:val="902"/>
    <w:qFormat/>
    <w:pPr>
      <w:pBdr/>
      <w:shd w:val="clear" w:color="000000" w:fill="ffffff"/>
      <w:spacing w:afterAutospacing="1" w:beforeAutospacing="1"/>
      <w:ind/>
    </w:pPr>
    <w:rPr>
      <w:sz w:val="24"/>
      <w:szCs w:val="24"/>
    </w:rPr>
  </w:style>
  <w:style w:type="paragraph" w:styleId="1106" w:customStyle="1">
    <w:name w:val="xl11951"/>
    <w:basedOn w:val="902"/>
    <w:qFormat/>
    <w:pPr>
      <w:pBdr>
        <w:top w:val="single" w:color="000000" w:sz="4" w:space="0"/>
        <w:left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4"/>
      <w:szCs w:val="24"/>
    </w:rPr>
  </w:style>
  <w:style w:type="paragraph" w:styleId="1107" w:customStyle="1">
    <w:name w:val="xl11952"/>
    <w:basedOn w:val="902"/>
    <w:qFormat/>
    <w:pPr>
      <w:pBdr>
        <w:left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4"/>
      <w:szCs w:val="24"/>
    </w:rPr>
  </w:style>
  <w:style w:type="paragraph" w:styleId="1108" w:customStyle="1">
    <w:name w:val="xl11953"/>
    <w:basedOn w:val="902"/>
    <w:qFormat/>
    <w:pPr>
      <w:pBdr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4"/>
      <w:szCs w:val="24"/>
    </w:rPr>
  </w:style>
  <w:style w:type="paragraph" w:styleId="1109" w:customStyle="1">
    <w:name w:val="xl11954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4"/>
      <w:szCs w:val="24"/>
    </w:rPr>
  </w:style>
  <w:style w:type="paragraph" w:styleId="1110" w:customStyle="1">
    <w:name w:val="xl11955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color w:val="000000"/>
      <w:sz w:val="24"/>
      <w:szCs w:val="24"/>
    </w:rPr>
  </w:style>
  <w:style w:type="paragraph" w:styleId="1111" w:customStyle="1">
    <w:name w:val="xl11956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color w:val="000000"/>
      <w:sz w:val="24"/>
      <w:szCs w:val="24"/>
    </w:rPr>
  </w:style>
  <w:style w:type="paragraph" w:styleId="1112" w:customStyle="1">
    <w:name w:val="xl11957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</w:pPr>
    <w:rPr>
      <w:b/>
      <w:bCs/>
      <w:sz w:val="24"/>
      <w:szCs w:val="24"/>
    </w:rPr>
  </w:style>
  <w:style w:type="paragraph" w:styleId="1113" w:customStyle="1">
    <w:name w:val="xl11958"/>
    <w:basedOn w:val="902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</w:pPr>
    <w:rPr>
      <w:b/>
      <w:bCs/>
      <w:sz w:val="24"/>
      <w:szCs w:val="24"/>
    </w:rPr>
  </w:style>
  <w:style w:type="paragraph" w:styleId="1114" w:customStyle="1">
    <w:name w:val="xl11959"/>
    <w:basedOn w:val="902"/>
    <w:qFormat/>
    <w:pPr>
      <w:pBdr/>
      <w:shd w:val="clear" w:color="000000" w:fill="ffffff"/>
      <w:spacing w:afterAutospacing="1" w:beforeAutospacing="1"/>
      <w:ind/>
    </w:pPr>
    <w:rPr>
      <w:sz w:val="24"/>
      <w:szCs w:val="24"/>
    </w:rPr>
  </w:style>
  <w:style w:type="numbering" w:styleId="1115" w:default="1">
    <w:name w:val="No List"/>
    <w:uiPriority w:val="99"/>
    <w:semiHidden/>
    <w:unhideWhenUsed/>
    <w:qFormat/>
    <w:pPr>
      <w:pBdr/>
      <w:spacing/>
      <w:ind/>
    </w:pPr>
  </w:style>
  <w:style w:type="numbering" w:styleId="1116">
    <w:name w:val="28810440681"/>
    <w:qFormat/>
    <w:pPr>
      <w:pBdr/>
      <w:spacing/>
      <w:ind/>
    </w:pPr>
  </w:style>
  <w:style w:type="numbering" w:styleId="1117">
    <w:name w:val="2517080341"/>
    <w:qFormat/>
    <w:pPr>
      <w:pBdr/>
      <w:spacing/>
      <w:ind/>
    </w:pPr>
  </w:style>
  <w:style w:type="numbering" w:styleId="1118">
    <w:name w:val="16260407631"/>
    <w:qFormat/>
    <w:pPr>
      <w:pBdr/>
      <w:spacing/>
      <w:ind/>
    </w:pPr>
  </w:style>
  <w:style w:type="table" w:styleId="1119">
    <w:name w:val="Table Grid Light"/>
    <w:basedOn w:val="1244"/>
    <w:uiPriority w:val="59"/>
    <w:pPr>
      <w:pBdr/>
      <w:spacing w:after="0" w:line="240" w:lineRule="auto"/>
      <w:ind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0">
    <w:name w:val="Plain Table 1"/>
    <w:basedOn w:val="1244"/>
    <w:uiPriority w:val="59"/>
    <w:pPr>
      <w:pBdr/>
      <w:spacing w:after="0" w:line="240" w:lineRule="auto"/>
      <w:ind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1">
    <w:name w:val="Plain Table 2"/>
    <w:basedOn w:val="1244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2">
    <w:name w:val="Plain Table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3">
    <w:name w:val="Plain Table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4">
    <w:name w:val="Plain Table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5">
    <w:name w:val="Grid Table 1 Light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6">
    <w:name w:val="Grid Table 1 Light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7">
    <w:name w:val="Grid Table 1 Light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8">
    <w:name w:val="Grid Table 1 Light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9">
    <w:name w:val="Grid Table 1 Light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0">
    <w:name w:val="Grid Table 1 Light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1">
    <w:name w:val="Grid Table 1 Light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2">
    <w:name w:val="Grid Table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cbcbcb" w:themeFill="text1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3">
    <w:name w:val="Grid Table 2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9e2f3" w:themeFill="accent1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4">
    <w:name w:val="Grid Table 2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5">
    <w:name w:val="Grid Table 2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6">
    <w:name w:val="Grid Table 2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7">
    <w:name w:val="Grid Table 2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8">
    <w:name w:val="Grid Table 2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9">
    <w:name w:val="Grid Table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cbcbcb" w:themeFill="text1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0">
    <w:name w:val="Grid Table 3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9e2f3" w:themeFill="accent1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1">
    <w:name w:val="Grid Table 3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2">
    <w:name w:val="Grid Table 3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3">
    <w:name w:val="Grid Table 3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4">
    <w:name w:val="Grid Table 3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5">
    <w:name w:val="Grid Table 3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6">
    <w:name w:val="Grid Table 4"/>
    <w:basedOn w:val="12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cbcbcb" w:themeFill="text1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7">
    <w:name w:val="Grid Table 4 - Accent 1"/>
    <w:basedOn w:val="12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ae3f3" w:themeFill="accent1" w:themeFillTint="32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537ec9" w:themeFill="accent1" w:themeFillTint="EA"/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8">
    <w:name w:val="Grid Table 4 - Accent 2"/>
    <w:basedOn w:val="12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9">
    <w:name w:val="Grid Table 4 - Accent 3"/>
    <w:basedOn w:val="12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 w:themeFillTint="FE"/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0">
    <w:name w:val="Grid Table 4 - Accent 4"/>
    <w:basedOn w:val="12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1">
    <w:name w:val="Grid Table 4 - Accent 5"/>
    <w:basedOn w:val="12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2">
    <w:name w:val="Grid Table 4 - Accent 6"/>
    <w:basedOn w:val="12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3">
    <w:name w:val="Grid Table 5 Dark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000000" w:themeFill="text1"/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000000" w:themeFill="text1"/>
        <w:tcBorders/>
      </w:tcPr>
    </w:tblStylePr>
    <w:tblStylePr w:type="la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000000" w:themeFill="text1"/>
        <w:tcBorders/>
      </w:tcPr>
    </w:tblStylePr>
    <w:tblStylePr w:type="la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4">
    <w:name w:val="Grid Table 5 Dark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4472c4" w:themeFill="accent1"/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4472c4" w:themeFill="accent1"/>
        <w:tcBorders/>
      </w:tcPr>
    </w:tblStylePr>
    <w:tblStylePr w:type="la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4472c4" w:themeFill="accent1"/>
        <w:tcBorders/>
      </w:tcPr>
    </w:tblStylePr>
    <w:tblStylePr w:type="la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5">
    <w:name w:val="Grid Table 5 Dark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ed7d31" w:themeFill="accent2"/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ed7d31" w:themeFill="accent2"/>
        <w:tcBorders/>
      </w:tcPr>
    </w:tblStylePr>
    <w:tblStylePr w:type="la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ed7d31" w:themeFill="accent2"/>
        <w:tcBorders/>
      </w:tcPr>
    </w:tblStylePr>
    <w:tblStylePr w:type="la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6">
    <w:name w:val="Grid Table 5 Dark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/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/>
        <w:tcBorders/>
      </w:tcPr>
    </w:tblStylePr>
    <w:tblStylePr w:type="la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/>
        <w:tcBorders/>
      </w:tcPr>
    </w:tblStylePr>
    <w:tblStylePr w:type="la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7">
    <w:name w:val="Grid Table 5 Dark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ffc000" w:themeFill="accent4"/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ffc000" w:themeFill="accent4"/>
        <w:tcBorders/>
      </w:tcPr>
    </w:tblStylePr>
    <w:tblStylePr w:type="la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ffc000" w:themeFill="accent4"/>
        <w:tcBorders/>
      </w:tcPr>
    </w:tblStylePr>
    <w:tblStylePr w:type="la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8">
    <w:name w:val="Grid Table 5 Dark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la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la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9">
    <w:name w:val="Grid Table 5 Dark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lastCol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la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0">
    <w:name w:val="Grid Table 6 Colorful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cbcbcb" w:themeFill="text1" w:themeFillTint="34"/>
        <w:tcBorders/>
      </w:tcPr>
    </w:tblStylePr>
    <w:tblStylePr w:type="band2Horz">
      <w:rPr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1">
    <w:name w:val="Grid Table 6 Colorful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9e2f3" w:themeFill="accent1" w:themeFillTint="34"/>
        <w:tcBorders/>
      </w:tcPr>
    </w:tblStylePr>
    <w:tblStylePr w:type="band2Horz">
      <w:rPr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2">
    <w:name w:val="Grid Table 6 Colorful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2Horz">
      <w:rPr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3">
    <w:name w:val="Grid Table 6 Colorful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2Horz">
      <w:rPr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4">
    <w:name w:val="Grid Table 6 Colorful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2Horz">
      <w:rPr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5">
    <w:name w:val="Grid Table 6 Colorful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2Horz">
      <w:rPr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6">
    <w:name w:val="Grid Table 6 Colorful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2Horz">
      <w:rPr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7">
    <w:name w:val="Grid Table 7 Colorful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2Horz">
      <w:rPr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8">
    <w:name w:val="Grid Table 7 Colorful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9e2f3" w:themeFill="accent1" w:themeFillTint="34"/>
        <w:tcBorders/>
      </w:tcPr>
    </w:tblStylePr>
    <w:tblStylePr w:type="band2Horz">
      <w:rPr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9">
    <w:name w:val="Grid Table 7 Colorful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2Horz">
      <w:rPr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0">
    <w:name w:val="Grid Table 7 Colorful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2Horz">
      <w:rPr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1">
    <w:name w:val="Grid Table 7 Colorful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2Horz">
      <w:rPr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2">
    <w:name w:val="Grid Table 7 Colorful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2Horz">
      <w:rPr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3">
    <w:name w:val="Grid Table 7 Colorful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2Horz">
      <w:rPr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4">
    <w:name w:val="List Table 1 Light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5">
    <w:name w:val="List Table 1 Light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6">
    <w:name w:val="List Table 1 Light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7">
    <w:name w:val="List Table 1 Light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8">
    <w:name w:val="List Table 1 Light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9">
    <w:name w:val="List Table 1 Light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0">
    <w:name w:val="List Table 1 Light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1">
    <w:name w:val="List Table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bfbfbf" w:themeFill="text1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2">
    <w:name w:val="List Table 2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0dcf0" w:themeFill="accent1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3">
    <w:name w:val="List Table 2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adecb" w:themeFill="accent2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4">
    <w:name w:val="List Table 2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8e8e8" w:themeFill="accent3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5">
    <w:name w:val="List Table 2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efbf" w:themeFill="accent4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6">
    <w:name w:val="List Table 2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6e6f4" w:themeFill="accent5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7">
    <w:name w:val="List Table 2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becd0" w:themeFill="accent6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8">
    <w:name w:val="List Table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9">
    <w:name w:val="List Table 3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0">
    <w:name w:val="List Table 3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1">
    <w:name w:val="List Table 3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2">
    <w:name w:val="List Table 3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3">
    <w:name w:val="List Table 3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4">
    <w:name w:val="List Table 3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5">
    <w:name w:val="List Table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bfbfbf" w:themeFill="text1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6">
    <w:name w:val="List Table 4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0dcf0" w:themeFill="accent1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7">
    <w:name w:val="List Table 4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adecb" w:themeFill="accent2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8">
    <w:name w:val="List Table 4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8e8e8" w:themeFill="accent3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9">
    <w:name w:val="List Table 4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efbf" w:themeFill="accent4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0">
    <w:name w:val="List Table 4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6e6f4" w:themeFill="accent5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1">
    <w:name w:val="List Table 4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becd0" w:themeFill="accent6" w:themeFillTint="40"/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2">
    <w:name w:val="List Table 5 Dark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>
          <w:top w:val="single" w:color="000000" w:themeColor="tex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03">
    <w:name w:val="List Table 5 Dark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04">
    <w:name w:val="List Table 5 Dark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>
          <w:top w:val="single" w:color="000000" w:themeColor="accent2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05">
    <w:name w:val="List Table 5 Dark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fill="c9c9c9" w:themeFill="accent3" w:themeFillTint="98"/>
        <w:tcBorders>
          <w:top w:val="single" w:color="000000" w:themeColor="accent3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06">
    <w:name w:val="List Table 5 Dark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>
          <w:top w:val="single" w:color="000000" w:themeColor="accent4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07">
    <w:name w:val="List Table 5 Dark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fill="9cc3e6" w:themeFill="accent5" w:themeFillTint="9A"/>
        <w:tcBorders>
          <w:top w:val="single" w:color="000000" w:themeColor="accent5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08">
    <w:name w:val="List Table 5 Dark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fill="a9d18f" w:themeFill="accent6" w:themeFillTint="98"/>
        <w:tcBorders>
          <w:top w:val="single" w:color="000000" w:themeColor="accent6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09">
    <w:name w:val="List Table 6 Colorful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bfbfbf" w:themeFill="text1" w:themeFillTint="40"/>
        <w:tcBorders/>
      </w:tcPr>
    </w:tblStylePr>
    <w:tblStylePr w:type="band2Horz">
      <w:rPr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0">
    <w:name w:val="List Table 6 Colorful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0dcf0" w:themeFill="accent1" w:themeFillTint="40"/>
        <w:tcBorders/>
      </w:tcPr>
    </w:tblStylePr>
    <w:tblStylePr w:type="band2Horz">
      <w:rPr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1">
    <w:name w:val="List Table 6 Colorful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adecb" w:themeFill="accent2" w:themeFillTint="40"/>
        <w:tcBorders/>
      </w:tcPr>
    </w:tblStylePr>
    <w:tblStylePr w:type="band2Horz">
      <w:rPr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2">
    <w:name w:val="List Table 6 Colorful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e8e8e8" w:themeFill="accent3" w:themeFillTint="40"/>
        <w:tcBorders/>
      </w:tcPr>
    </w:tblStylePr>
    <w:tblStylePr w:type="band2Horz">
      <w:rPr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3">
    <w:name w:val="List Table 6 Colorful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fefbf" w:themeFill="accent4" w:themeFillTint="40"/>
        <w:tcBorders/>
      </w:tcPr>
    </w:tblStylePr>
    <w:tblStylePr w:type="band2Horz">
      <w:rPr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4">
    <w:name w:val="List Table 6 Colorful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6e6f4" w:themeFill="accent5" w:themeFillTint="40"/>
        <w:tcBorders/>
      </w:tcPr>
    </w:tblStylePr>
    <w:tblStylePr w:type="band2Horz">
      <w:rPr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5">
    <w:name w:val="List Table 6 Colorful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becd0" w:themeFill="accent6" w:themeFillTint="40"/>
        <w:tcBorders/>
      </w:tcPr>
    </w:tblStylePr>
    <w:tblStylePr w:type="band2Horz">
      <w:rPr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6">
    <w:name w:val="List Table 7 Colorful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bfbfbf" w:themeFill="text1" w:themeFillTint="40"/>
        <w:tcBorders/>
      </w:tcPr>
    </w:tblStylePr>
    <w:tblStylePr w:type="band2Horz">
      <w:rPr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17">
    <w:name w:val="List Table 7 Colorful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000000" w:themeColor="accent1" w:sz="4" w:space="0"/>
      </w:tblBorders>
    </w:tblPr>
    <w:tcPr>
      <w:tcBorders/>
    </w:tcPr>
    <w:tblStylePr w:type="band1Horz">
      <w:rPr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0dcf0" w:themeFill="accent1" w:themeFillTint="40"/>
        <w:tcBorders/>
      </w:tcPr>
    </w:tblStylePr>
    <w:tblStylePr w:type="band2Horz">
      <w:rPr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18">
    <w:name w:val="List Table 7 Colorful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adecb" w:themeFill="accent2" w:themeFillTint="40"/>
        <w:tcBorders/>
      </w:tcPr>
    </w:tblStylePr>
    <w:tblStylePr w:type="band2Horz">
      <w:rPr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19">
    <w:name w:val="List Table 7 Colorful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e8e8e8" w:themeFill="accent3" w:themeFillTint="40"/>
        <w:tcBorders/>
      </w:tcPr>
    </w:tblStylePr>
    <w:tblStylePr w:type="band2Horz">
      <w:rPr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20">
    <w:name w:val="List Table 7 Colorful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ffefbf" w:themeFill="accent4" w:themeFillTint="40"/>
        <w:tcBorders/>
      </w:tcPr>
    </w:tblStylePr>
    <w:tblStylePr w:type="band2Horz">
      <w:rPr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21">
    <w:name w:val="List Table 7 Colorful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6e6f4" w:themeFill="accent5" w:themeFillTint="40"/>
        <w:tcBorders/>
      </w:tcPr>
    </w:tblStylePr>
    <w:tblStylePr w:type="band2Horz">
      <w:rPr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22">
    <w:name w:val="List Table 7 Colorful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fill="dbecd0" w:themeFill="accent6" w:themeFillTint="40"/>
        <w:tcBorders/>
      </w:tcPr>
    </w:tblStylePr>
    <w:tblStylePr w:type="band2Horz">
      <w:rPr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223">
    <w:name w:val="Lined - Accent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4">
    <w:name w:val="Lined - Accent 1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c4d3ec" w:themeFill="accent1" w:themeFillTint="50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c4d3ec" w:themeFill="accent1" w:themeFillTint="50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37ec9" w:themeFill="accent1" w:themeFillTint="EA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37ec9" w:themeFill="accent1" w:themeFillTint="EA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37ec9" w:themeFill="accent1" w:themeFillTint="EA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5">
    <w:name w:val="Lined - Accent 2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6">
    <w:name w:val="Lined - Accent 3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 w:themeFillTint="FE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 w:themeFillTint="FE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 w:themeFillTint="FE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7">
    <w:name w:val="Lined - Accent 4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8">
    <w:name w:val="Lined - Accent 5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9">
    <w:name w:val="Lined - Accent 6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0">
    <w:name w:val="Bordered &amp; Lined - Accent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2f2f2" w:themeFill="text1" w:themeFillTint="00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1">
    <w:name w:val="Bordered &amp; Lined - Accent 1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c4d3ec" w:themeFill="accent1" w:themeFillTint="50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c4d3ec" w:themeFill="accent1" w:themeFillTint="50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37ec9" w:themeFill="accent1" w:themeFillTint="EA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37ec9" w:themeFill="accent1" w:themeFillTint="EA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37ec9" w:themeFill="accent1" w:themeFillTint="EA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2">
    <w:name w:val="Bordered &amp; Lined - Accent 2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be6d7" w:themeFill="accent2" w:themeFillTint="32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3">
    <w:name w:val="Bordered &amp; Lined - Accent 3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deded" w:themeFill="accent3" w:themeFillTint="34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 w:themeFillTint="FE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 w:themeFillTint="FE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 w:themeFillTint="FE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4">
    <w:name w:val="Bordered &amp; Lined - Accent 4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fff2cb" w:themeFill="accent4" w:themeFillTint="34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5">
    <w:name w:val="Bordered &amp; Lined - Accent 5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deebf6" w:themeFill="accent5" w:themeFillTint="34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6">
    <w:name w:val="Bordered &amp; Lined - Accent 6"/>
    <w:basedOn w:val="124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band2Vert">
      <w:rPr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fill="e2efd9" w:themeFill="accent6" w:themeFillTint="34"/>
        <w:tcBorders/>
      </w:tcPr>
    </w:tblStylePr>
    <w:tblStylePr w:type="fir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fir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lastCol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lastRow">
      <w:rPr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7">
    <w:name w:val="Bordered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sz="12" w:space="0"/>
        </w:tcBorders>
      </w:tcPr>
    </w:tblStylePr>
    <w:tblStylePr w:type="lastCol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12" w:space="0"/>
        </w:tcBorders>
      </w:tcPr>
    </w:tblStylePr>
    <w:tblStylePr w:type="la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8">
    <w:name w:val="Bordered - Accent 1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9">
    <w:name w:val="Bordered - Accent 2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sz="12" w:space="0"/>
        </w:tcBorders>
      </w:tcPr>
    </w:tblStylePr>
    <w:tblStylePr w:type="lastCol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sz="12" w:space="0"/>
        </w:tcBorders>
      </w:tcPr>
    </w:tblStylePr>
    <w:tblStylePr w:type="la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0">
    <w:name w:val="Bordered - Accent 3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sz="12" w:space="0"/>
        </w:tcBorders>
      </w:tcPr>
    </w:tblStylePr>
    <w:tblStylePr w:type="lastCol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sz="12" w:space="0"/>
        </w:tcBorders>
      </w:tcPr>
    </w:tblStylePr>
    <w:tblStylePr w:type="la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1">
    <w:name w:val="Bordered - Accent 4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sz="12" w:space="0"/>
        </w:tcBorders>
      </w:tcPr>
    </w:tblStylePr>
    <w:tblStylePr w:type="lastCol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sz="12" w:space="0"/>
        </w:tcBorders>
      </w:tcPr>
    </w:tblStylePr>
    <w:tblStylePr w:type="la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2">
    <w:name w:val="Bordered - Accent 5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sz="12" w:space="0"/>
        </w:tcBorders>
      </w:tcPr>
    </w:tblStylePr>
    <w:tblStylePr w:type="la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3">
    <w:name w:val="Bordered - Accent 6"/>
    <w:basedOn w:val="12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sz="12" w:space="0"/>
        </w:tcBorders>
      </w:tcPr>
    </w:tblStylePr>
    <w:tblStylePr w:type="lastRow">
      <w:rPr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4" w:default="1">
    <w:name w:val="Normal Table"/>
    <w:uiPriority w:val="99"/>
    <w:semiHidden/>
    <w:unhideWhenUsed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5">
    <w:name w:val="Table Grid"/>
    <w:basedOn w:val="1244"/>
    <w:uiPriority w:val="3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6" w:customStyle="1">
    <w:name w:val="Сетка таблицы1"/>
    <w:basedOn w:val="1244"/>
    <w:uiPriority w:val="39"/>
    <w:pPr>
      <w:pBdr/>
      <w:spacing/>
      <w:ind/>
    </w:pPr>
    <w:rPr>
      <w:rFonts w:asciiTheme="minorHAnsi" w:hAnsiTheme="minorHAnsi" w:eastAsiaTheme="minorHAnsi" w:cstheme="minorBidi"/>
      <w:sz w:val="24"/>
      <w:szCs w:val="24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footer" Target="footer1.xml" /><Relationship Id="rId17" Type="http://schemas.openxmlformats.org/officeDocument/2006/relationships/footer" Target="footer2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0" Type="http://schemas.openxmlformats.org/officeDocument/2006/relationships/footer" Target="footer5.xml" /><Relationship Id="rId21" Type="http://schemas.openxmlformats.org/officeDocument/2006/relationships/footer" Target="footer6.xml" /><Relationship Id="rId22" Type="http://schemas.openxmlformats.org/officeDocument/2006/relationships/customXml" Target="../customXml/item1.xml" /><Relationship Id="rId23" Type="http://schemas.openxmlformats.org/officeDocument/2006/relationships/hyperlink" Target="http://stroy.dbases.ru/Data1/10/10690/index.htm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74707-8E7A-46CC-A084-FE3C9EC36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ONLYOFFICE/8.1.1.27</Application>
  <Company>Microsoft</Company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dc:description/>
  <dc:language>ru-RU</dc:language>
  <cp:revision>104</cp:revision>
  <dcterms:created xsi:type="dcterms:W3CDTF">2021-04-04T11:05:00Z</dcterms:created>
  <dcterms:modified xsi:type="dcterms:W3CDTF">2026-05-28T05:50:01Z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