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39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19"/>
        <w:gridCol w:w="8154"/>
        <w:gridCol w:w="849"/>
        <w:gridCol w:w="759"/>
      </w:tblGrid>
      <w:tr>
        <w:trPr>
          <w:trHeight w:val="126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Технические характеристики (описание)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424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Календарь квартальный на 2027 год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ru-RU" w:eastAsia="en-US" w:bidi="ar-SA"/>
              </w:rPr>
              <w:t>Верхний постер:</w:t>
            </w: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cstheme="minorHAnsi"/>
                <w:b w:val="false"/>
                <w:bCs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размер 340x240 мм.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 w:val="false"/>
                <w:bCs/>
                <w:kern w:val="2"/>
                <w:sz w:val="24"/>
                <w:szCs w:val="24"/>
                <w:lang w:val="ru-RU" w:eastAsia="en-US" w:bidi="ar-SA"/>
              </w:rPr>
              <w:t xml:space="preserve">Жесткий шпигель (картинка с согласованной Заказчиком иллюстрацией).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 w:val="false"/>
                <w:bCs/>
                <w:kern w:val="2"/>
                <w:sz w:val="24"/>
                <w:szCs w:val="24"/>
                <w:lang w:val="ru-RU" w:eastAsia="en-US" w:bidi="ar-SA"/>
              </w:rPr>
              <w:t>Картон односторонний, мелованный. К</w:t>
            </w: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ашируется дизайнерской бумагой/ переплетным материалом/ флокированным переплетным материалом  - по согласованию с  Заказчиком.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Припрессовка глянцевой пленкой  - по согласованию с  Заказчиком.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Плотность бумаги - не менее 300, не более 370  г/кв. м.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Печать офсетная 5+0 (4+0+Р 072).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Тиснение надписи «Бурейская ГЭС» и года — объемное с подъемом фольгой цветом под «серебро».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Календарный блок (сетка), 3 шт.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Три блока отрывных ежемесячных численников 2027 г., предыдущего, текущего и последующих месяцев с оригинальной согласованной графикой. Численники должны содержать выделение официальных праздников Российской Федерации.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Размер календарных блоков — не менее 340x170 мм.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Блок текущего месяца должен содержать магнитный курсор указания текущей даты.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Бумага блока — плотность не менее 115 г/кв. м.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Печать офсетная — 5+0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Отрывная перфорация   - наличие.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Подложка блока текущего месяца содержит металлическую магнитную пластину из мягкого магнитного железа, толщиной не менее 0,2 мм. По размеру отрывной части.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Размер подложки 1,2  - не менее 340x170 мм.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Размер нижней подложки — 340x195. Нижняя подложка содержит рекламное поле с указанием Адреса организации, QR-кода на социальные сети, сайта (предоставляется Заказчиком).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Бумага подложек  - картон односторонний. Плотность бумаги  - не менее 300, не более 370 г/кв. м. Печать офсетная +0 (4+0+Р 072).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Пружины  - 3 шт.  - наличие. Цвет пружин  - по согласованию с Заказчиком, в зависимости от утвержденного дизайн-макета.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Helvetica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Пикколо  - наличие. Цвет пикколо  - по согласованию с Заказчиком. 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Разработка дизайн-макета календаря.</w:t>
            </w:r>
            <w:r>
              <w:rPr>
                <w:rFonts w:eastAsia="Calibri" w:cs="Calibri" w:cstheme="minorHAnsi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Календарные блоки и главный постер должны иметь индивидуальный дизайн и цвет, согласованный с Заказчиком. Сюжет обложки должен содержать изображение, логотип Бурейской ГЭС (предоставляется Заказчиком), надпись «Бурейская ГЭС», год 2027. Исполнитель обязан предоставить на согласование Заказчику не менее 5 (пяти) вариантов художественно-графических решений оригинал-макетов квартальных календарей на 2027 год.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Calibri" w:cstheme="minorHAnsi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Образец готового календаря необходимо предоставить </w:t>
            </w:r>
            <w:r>
              <w:rPr>
                <w:rFonts w:eastAsia="Calibri" w:cs="Calibri" w:cstheme="minorHAnsi"/>
                <w:b w:val="false"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на ут</w:t>
            </w:r>
            <w:r>
              <w:rPr>
                <w:rFonts w:eastAsia="Calibri" w:cs="Calibri" w:cstheme="minorHAnsi"/>
                <w:b w:val="false"/>
                <w:bCs/>
                <w:color w:val="000000"/>
                <w:kern w:val="2"/>
                <w:sz w:val="20"/>
                <w:szCs w:val="20"/>
                <w:lang w:val="ru-RU" w:eastAsia="en-US" w:bidi="ar-SA"/>
              </w:rPr>
              <w:t>верждение.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3192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поставке продукции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Продукция должна быть новой, ранее не использованной, </w:t>
            </w:r>
            <w:r>
              <w:rPr>
                <w:sz w:val="22"/>
                <w:szCs w:val="22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Место поставки продукции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676730, Амурская область, пгт Талакан, Склад ТМЦ Филиа</w:t>
            </w:r>
            <w:bookmarkStart w:id="0" w:name="_GoBack"/>
            <w:bookmarkEnd w:id="0"/>
            <w:r>
              <w:rPr>
                <w:sz w:val="22"/>
                <w:szCs w:val="22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Условия поставки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1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предотвращать (в том числе при доставке) порчу готовой продукции, загрязнение, механические повреждения.</w:t>
            </w:r>
          </w:p>
        </w:tc>
      </w:tr>
      <w:tr>
        <w:trPr>
          <w:trHeight w:val="570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Начало: день, следующий за днем подписания Сторонами договора.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Окончание: не позднее 1 декабря 2026 года.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AlterOffice/3.4.0.9$Linux_X86_64 LibreOffice_project/b8daf9e823b1a5463a2f48435ddc2e8696e7d4fc</Application>
  <AppVersion>15.0000</AppVersion>
  <Pages>2</Pages>
  <Words>408</Words>
  <Characters>2705</Characters>
  <CharactersWithSpaces>3101</CharactersWithSpaces>
  <Paragraphs>50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khadzhiogloam@corp.gidroogk.com</cp:lastModifiedBy>
  <cp:lastPrinted>2024-10-04T02:27:00Z</cp:lastPrinted>
  <dcterms:modified xsi:type="dcterms:W3CDTF">2026-05-28T15:03:40Z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