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tabs>
          <w:tab w:val="clear" w:pos="709"/>
          <w:tab w:val="left" w:pos="211" w:leader="none"/>
        </w:tabs>
        <w:jc w:val="right"/>
        <w:rPr>
          <w:bCs/>
          <w:i/>
          <w:i/>
          <w:spacing w:val="2"/>
          <w:sz w:val="16"/>
          <w:szCs w:val="16"/>
        </w:rPr>
      </w:pPr>
      <w:r>
        <w:rPr>
          <w:sz w:val="24"/>
        </w:rPr>
        <w:tab/>
        <w:tab/>
        <w:t xml:space="preserve">                                                                                                                 </w:t>
      </w:r>
    </w:p>
    <w:p>
      <w:pPr>
        <w:pStyle w:val="Normal"/>
        <w:jc w:val="right"/>
        <w:rPr>
          <w:i/>
          <w:i/>
          <w:sz w:val="24"/>
          <w:szCs w:val="28"/>
        </w:rPr>
      </w:pPr>
      <w:r>
        <w:rPr>
          <w:i/>
          <w:sz w:val="24"/>
          <w:szCs w:val="28"/>
        </w:rPr>
      </w:r>
    </w:p>
    <w:p>
      <w:pPr>
        <w:pStyle w:val="Normal"/>
        <w:jc w:val="center"/>
        <w:rPr>
          <w:b/>
          <w:caps/>
          <w:sz w:val="24"/>
        </w:rPr>
      </w:pPr>
      <w:r>
        <w:rPr>
          <w:b/>
          <w:caps/>
          <w:sz w:val="24"/>
        </w:rPr>
        <w:t>Техническое задание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tbl>
      <w:tblPr>
        <w:tblStyle w:val="1a"/>
        <w:tblW w:w="1048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59"/>
        <w:gridCol w:w="3377"/>
        <w:gridCol w:w="6549"/>
      </w:tblGrid>
      <w:tr>
        <w:trPr/>
        <w:tc>
          <w:tcPr>
            <w:tcW w:w="55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п/п</w:t>
            </w:r>
          </w:p>
        </w:tc>
        <w:tc>
          <w:tcPr>
            <w:tcW w:w="3377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Перечень исходных данных и требований</w:t>
            </w:r>
          </w:p>
        </w:tc>
        <w:tc>
          <w:tcPr>
            <w:tcW w:w="654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Основные данные и требования</w:t>
            </w:r>
          </w:p>
        </w:tc>
      </w:tr>
      <w:tr>
        <w:trPr/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1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2</w:t>
            </w:r>
          </w:p>
        </w:tc>
        <w:tc>
          <w:tcPr>
            <w:tcW w:w="654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413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Состав, содержание работ</w:t>
            </w:r>
          </w:p>
        </w:tc>
        <w:tc>
          <w:tcPr>
            <w:tcW w:w="654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Для выполнения работ по замене общедомовых приборов учета на узлах холодного водоснабжения в многоквартирных домах и ЦТП мкр. Шакша, Калининского района г. Уфы.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Исполнителем производятся следующие виды работ: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Обследование места установки оборудования;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Получение технических условий на проектирование;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Разработка рабочей, проектно-сметной и исполнительной документации;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Получение необходимых согласований для производства работ;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Поставка необходимых материалов и оборудования для выполнения вышеуказанных работ;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Выполнение строительно-монтажных работ по замене общедомовых приборов учета (далее ПУ) на узлах холодного водоснабжения (далее ХВС) согласно утвержденной проектно-сметной, рабочей документации.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Пуско-наладка приборов учета, интеграция с автоматизированной информационно – измерительной системой коммерческого учета воды. (АИИС КУВ)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Поставка программного обеспечения АИИС КУВ на основе цифровой платформы «Система мониторинга и управления «Энергоатлас» (Передача неисключительных бессрочных прав), с целью создания единой программной платфоры. Расширение используемой в УВК программы «Энергоатлас»</w:t>
            </w:r>
          </w:p>
          <w:p>
            <w:pPr>
              <w:pStyle w:val="ListParagraph"/>
              <w:widowControl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</w:tr>
      <w:tr>
        <w:trPr>
          <w:trHeight w:val="413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2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Объем работ</w:t>
            </w:r>
          </w:p>
        </w:tc>
        <w:tc>
          <w:tcPr>
            <w:tcW w:w="6549" w:type="dxa"/>
            <w:tcBorders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Перед началом выполнения работ Подрядчик составляет План-график работ, Заказчик согласовывает.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Произвести обследование мест установки общедомовых приборов учета на узлах ХВС в 40 многоквартирных домах (далее МКД) и 4 центральных тепловых пунктах (далее ЦТП) микрорайона Шакша, Калининского района г. Уфы.</w:t>
            </w:r>
          </w:p>
          <w:p>
            <w:pPr>
              <w:pStyle w:val="ListParagraph"/>
              <w:widowControl/>
              <w:spacing w:before="0" w:after="0"/>
              <w:ind w:left="765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Перечень объектов, по которым необходимо провести разработку проектно-сметной документации указан в Приложении 1 к данному техническому заданию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Разработать проектно – сметную документацию по замене общедомовых приборов учета ХВС в 40 МКД и 4 ЦТП микрорайона Шакша, Калининского района г. Уфы, по результатам проведенного обследования мест установки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общедомовых приборов учета на узлах ХВС.</w:t>
            </w:r>
          </w:p>
          <w:p>
            <w:pPr>
              <w:pStyle w:val="ListParagraph"/>
              <w:widowControl/>
              <w:spacing w:before="0" w:after="0"/>
              <w:ind w:left="765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Перечень объектов, по которым необходимо провести разработку проектно-сметной документации указан в Приложении 1 к данному техническому заданию.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Выполнение строительно–монтажных работ по замене общедомовых приборов учета </w:t>
            </w:r>
            <w:r>
              <w:rPr>
                <w:rFonts w:eastAsia="Times New Roman" w:cs="Times New Roman"/>
                <w:color w:themeColor="text1" w:val="000000"/>
                <w:kern w:val="0"/>
                <w:sz w:val="24"/>
                <w:szCs w:val="20"/>
                <w:lang w:val="ru-RU" w:eastAsia="ru-RU" w:bidi="ar-SA"/>
              </w:rPr>
              <w:t xml:space="preserve">ХВС, а также оборудования узлов учёта в случае выявленной необходимости в соответствии с Проектно-сметной документацией, составленной на основе Актов обследования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 40 МКД и 4 ЦТП мкр. Шакша, Калининского района г. Уфы. Все приборы учета должны быть оборудованы модулем передачи данных в АИИС КУВ заказчика. Перечень объектов, по которым необходимо провести строительно – монтажные работы указан в Приложении 2 к данному Техническому заданию</w:t>
            </w:r>
            <w:r>
              <w:rPr>
                <w:rFonts w:eastAsia="Times New Roman" w:cs="Times New Roman"/>
                <w:color w:val="FF0000"/>
                <w:kern w:val="0"/>
                <w:sz w:val="24"/>
                <w:szCs w:val="20"/>
                <w:lang w:val="ru-RU" w:eastAsia="ru-RU" w:bidi="ar-SA"/>
              </w:rPr>
              <w:t>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Поставка программного обеспечения АИИС КУВ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Пуско-наладка программного комплекса АИИС КУВ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</w:tr>
      <w:tr>
        <w:trPr>
          <w:trHeight w:val="137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3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Основные требования к выполнению строительно – монтажных работ</w:t>
            </w:r>
          </w:p>
        </w:tc>
        <w:tc>
          <w:tcPr>
            <w:tcW w:w="6549" w:type="dxa"/>
            <w:tcBorders/>
          </w:tcPr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Работы должны выполняться в соответствии с:</w:t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Правилами холодного водоснабжения и водоотведения, утв. Правительством Российской Федерации от 29.07.1999г. №644;</w:t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Свод правил СП 30.13330.2020 «СНиП 2.04.01-85* «Внутренний водопровод и канализация зданий»;</w:t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СНиП 3.05.04-85 «Наружные сети и сооружения водоснабжения и канализации»;</w:t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Постановлением Правительства РФ от 04.09.2013г. №776 «Об утверждении Правил организации коммерческого учета воды, сточных вод»;</w:t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Приказа Министерства строительства РФ от 28.08.2020г. №485/ПР;</w:t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Федеральным законом №261 от 11.11.2009г. «Об энергосбережении и о повышении энергетической эффективности, и о внесении изменений в отдельные законодательные акты Российской Федерации»;</w:t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Действующими нормативно – техническими документами на устройство узлов учета воды для хозяйственно - питьевых, производственных и противопожарных нужд абонентов.</w:t>
            </w:r>
          </w:p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Монтаж оборудования должны выполнять сотрудники, прошедшие обучение и имеющие удостоверение о допуске к работам  в ограниченных и замкнутых пространствах, необходимые для того, чтобы предотвратить действия, которые могут повлечь опасные последствия в процессе установки оборудования, что позволит избежать опасности для сотрудников и оборудования.</w:t>
            </w:r>
          </w:p>
          <w:p>
            <w:pPr>
              <w:pStyle w:val="Normal"/>
              <w:widowControl/>
              <w:spacing w:lineRule="atLeast" w:line="234" w:before="0" w:after="0"/>
              <w:ind w:hanging="426" w:left="741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/>
                <w:color w:val="000000"/>
                <w:kern w:val="0"/>
                <w:sz w:val="28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монтаж и ПНР средств измерений должны проводиться в соответствии с требованиями инструкции по монтажу и руководства по эксплуатации на средство измерений.</w:t>
            </w:r>
          </w:p>
          <w:p>
            <w:pPr>
              <w:pStyle w:val="Normal"/>
              <w:widowControl/>
              <w:spacing w:lineRule="atLeast" w:line="234" w:before="0" w:after="0"/>
              <w:ind w:hanging="426" w:left="741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</w:tr>
      <w:tr>
        <w:trPr>
          <w:trHeight w:val="150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4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Порядок и сроки сдачи и приемки выполненных работ</w:t>
            </w:r>
          </w:p>
        </w:tc>
        <w:tc>
          <w:tcPr>
            <w:tcW w:w="6549" w:type="dxa"/>
            <w:tcBorders/>
          </w:tcPr>
          <w:p>
            <w:pPr>
              <w:pStyle w:val="ListParagraph"/>
              <w:widowControl/>
              <w:numPr>
                <w:ilvl w:val="0"/>
                <w:numId w:val="4"/>
              </w:numPr>
              <w:spacing w:before="40" w:after="40"/>
              <w:ind w:hanging="360" w:left="765"/>
              <w:contextualSpacing/>
              <w:jc w:val="both"/>
              <w:rPr>
                <w:color w:themeColor="text1" w:val="000000"/>
                <w:sz w:val="24"/>
              </w:rPr>
            </w:pPr>
            <w:r>
              <w:rPr>
                <w:rFonts w:eastAsia="Times New Roman" w:cs="Times New Roman"/>
                <w:color w:themeColor="text1" w:val="000000"/>
                <w:kern w:val="0"/>
                <w:sz w:val="24"/>
                <w:szCs w:val="20"/>
                <w:lang w:val="ru-RU" w:eastAsia="ru-RU" w:bidi="ar-SA"/>
              </w:rPr>
              <w:t>Приемка работ будет осуществляться исходя из фактически выполненных и подтвержденных объемов работ по каждому объекту с учетом изменений.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before="40" w:after="40"/>
              <w:ind w:hanging="360" w:left="765"/>
              <w:contextualSpacing/>
              <w:jc w:val="both"/>
              <w:rPr>
                <w:color w:themeColor="text1" w:val="000000"/>
                <w:sz w:val="24"/>
              </w:rPr>
            </w:pPr>
            <w:r>
              <w:rPr>
                <w:rFonts w:eastAsia="Times New Roman" w:cs="Times New Roman"/>
                <w:color w:themeColor="text1" w:val="000000"/>
                <w:kern w:val="0"/>
                <w:sz w:val="24"/>
                <w:szCs w:val="20"/>
                <w:lang w:val="ru-RU" w:eastAsia="ru-RU" w:bidi="ar-SA"/>
              </w:rPr>
              <w:t>Подрядчик (подрядчик и привлекаемые субподрядчики) обязаны подготовить и поддерживать заполнение на русском языке полного комплекта исполнительной документации, в том числе: План-график производства работ, исполнительные схемы, обеспечивая достоверность и полноту фактических сведений о выполненных работах.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before="40" w:after="40"/>
              <w:ind w:hanging="360" w:left="765"/>
              <w:contextualSpacing/>
              <w:jc w:val="both"/>
              <w:rPr>
                <w:color w:themeColor="text1" w:val="000000"/>
                <w:sz w:val="24"/>
              </w:rPr>
            </w:pPr>
            <w:r>
              <w:rPr>
                <w:rFonts w:eastAsia="Times New Roman" w:cs="Times New Roman"/>
                <w:color w:themeColor="text1" w:val="000000"/>
                <w:kern w:val="0"/>
                <w:sz w:val="24"/>
                <w:szCs w:val="20"/>
                <w:lang w:val="ru-RU" w:eastAsia="ru-RU" w:bidi="ar-SA"/>
              </w:rPr>
              <w:t>Подрядчик оформляет и предоставляет Заказчику исполнительную документацию в целях юридического подтверждения факта выполнения конкретных работ, требуемого уровня их качества, участия конкретных исполнителей.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before="40" w:after="40"/>
              <w:ind w:hanging="360" w:left="765"/>
              <w:contextualSpacing/>
              <w:jc w:val="both"/>
              <w:rPr>
                <w:rFonts w:ascii="Calibri" w:hAnsi="Calibri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Комплект первичной учетной и исполнительной документации на Работы, включает, но не ограничивается:</w:t>
            </w:r>
          </w:p>
          <w:p>
            <w:pPr>
              <w:pStyle w:val="Normal"/>
              <w:widowControl/>
              <w:spacing w:before="40" w:after="40"/>
              <w:ind w:left="34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4.1. План-график производства работ;</w:t>
            </w:r>
          </w:p>
          <w:p>
            <w:pPr>
              <w:pStyle w:val="Normal"/>
              <w:widowControl/>
              <w:spacing w:before="40" w:after="40"/>
              <w:ind w:left="340"/>
              <w:jc w:val="both"/>
              <w:rPr>
                <w:sz w:val="24"/>
              </w:rPr>
            </w:pPr>
            <w:r>
              <w:rPr>
                <w:rFonts w:eastAsia="Times New Roman" w:cs="Times New Roman" w:ascii="Calibri" w:hAnsi="Calibri"/>
                <w:color w:val="000000"/>
                <w:kern w:val="0"/>
                <w:sz w:val="22"/>
                <w:szCs w:val="20"/>
                <w:lang w:val="ru-RU" w:eastAsia="ru-RU" w:bidi="ar-SA"/>
              </w:rPr>
              <w:t xml:space="preserve">4.2.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Проектно –сметная документация</w:t>
            </w:r>
          </w:p>
          <w:p>
            <w:pPr>
              <w:pStyle w:val="Normal"/>
              <w:widowControl/>
              <w:spacing w:before="40" w:after="40"/>
              <w:ind w:left="34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4.3. Исполнительные схемы монтажа оборудования;</w:t>
            </w:r>
          </w:p>
          <w:p>
            <w:pPr>
              <w:pStyle w:val="Normal"/>
              <w:widowControl/>
              <w:spacing w:before="40" w:after="40"/>
              <w:ind w:left="340"/>
              <w:jc w:val="both"/>
              <w:rPr>
                <w:rFonts w:ascii="Calibri" w:hAnsi="Calibri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4.4. Акт о приемке выполненных Работ (по форме КС-2)</w:t>
            </w:r>
            <w:r>
              <w:rPr>
                <w:rFonts w:eastAsia="Times New Roman" w:cs="Times New Roman"/>
                <w:color w:themeColor="text1" w:val="000000"/>
                <w:kern w:val="0"/>
                <w:sz w:val="24"/>
                <w:szCs w:val="20"/>
                <w:lang w:val="ru-RU" w:eastAsia="ru-RU" w:bidi="ar-SA"/>
              </w:rPr>
              <w:t xml:space="preserve"> по каждому объекту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;</w:t>
            </w:r>
          </w:p>
          <w:p>
            <w:pPr>
              <w:pStyle w:val="Normal"/>
              <w:widowControl/>
              <w:spacing w:before="40" w:after="40"/>
              <w:ind w:left="340"/>
              <w:jc w:val="both"/>
              <w:rPr>
                <w:rFonts w:ascii="Calibri" w:hAnsi="Calibri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4.5. Справка о стоимости выполненных Работ и затрат (по форме КС-3)</w:t>
            </w:r>
            <w:r>
              <w:rPr>
                <w:rFonts w:eastAsia="Times New Roman" w:cs="Times New Roman"/>
                <w:color w:themeColor="text1" w:val="000000"/>
                <w:kern w:val="0"/>
                <w:sz w:val="24"/>
                <w:szCs w:val="20"/>
                <w:lang w:val="ru-RU" w:eastAsia="ru-RU" w:bidi="ar-SA"/>
              </w:rPr>
              <w:t xml:space="preserve"> по каждому объекту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;</w:t>
            </w:r>
          </w:p>
          <w:p>
            <w:pPr>
              <w:pStyle w:val="Normal"/>
              <w:widowControl/>
              <w:spacing w:before="40" w:after="40"/>
              <w:ind w:left="340"/>
              <w:jc w:val="both"/>
              <w:rPr>
                <w:sz w:val="24"/>
              </w:rPr>
            </w:pPr>
            <w:r>
              <w:rPr>
                <w:rFonts w:eastAsia="Times New Roman" w:cs="Times New Roman" w:ascii="Calibri" w:hAnsi="Calibri"/>
                <w:color w:val="000000"/>
                <w:kern w:val="0"/>
                <w:sz w:val="22"/>
                <w:szCs w:val="20"/>
                <w:lang w:val="ru-RU" w:eastAsia="ru-RU" w:bidi="ar-SA"/>
              </w:rPr>
              <w:t xml:space="preserve">4.6.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Счет на оплату</w:t>
            </w:r>
          </w:p>
          <w:p>
            <w:pPr>
              <w:pStyle w:val="Normal"/>
              <w:widowControl/>
              <w:spacing w:before="40" w:after="40"/>
              <w:ind w:left="340"/>
              <w:jc w:val="both"/>
              <w:rPr>
                <w:sz w:val="24"/>
              </w:rPr>
            </w:pPr>
            <w:r>
              <w:rPr>
                <w:rFonts w:eastAsia="Times New Roman" w:cs="Times New Roman" w:ascii="Calibri" w:hAnsi="Calibri"/>
                <w:color w:val="000000"/>
                <w:kern w:val="0"/>
                <w:sz w:val="22"/>
                <w:szCs w:val="20"/>
                <w:lang w:val="ru-RU" w:eastAsia="ru-RU" w:bidi="ar-SA"/>
              </w:rPr>
              <w:t xml:space="preserve">5.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Срок исполнения Работ, в том числе ПИР, СМР, ПНР – 120 дней после подписания договора.</w:t>
            </w:r>
          </w:p>
          <w:p>
            <w:pPr>
              <w:pStyle w:val="Normal"/>
              <w:widowControl/>
              <w:spacing w:before="40" w:after="40"/>
              <w:ind w:left="340"/>
              <w:jc w:val="both"/>
              <w:rPr>
                <w:rFonts w:ascii="Calibri" w:hAnsi="Calibri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6. Гарантийные сроки на выполненные работы не менее 1 года.</w:t>
            </w:r>
          </w:p>
        </w:tc>
      </w:tr>
      <w:tr>
        <w:trPr>
          <w:trHeight w:val="150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5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Прочие требования</w:t>
            </w:r>
          </w:p>
        </w:tc>
        <w:tc>
          <w:tcPr>
            <w:tcW w:w="6549" w:type="dxa"/>
            <w:tcBorders/>
          </w:tcPr>
          <w:p>
            <w:pPr>
              <w:pStyle w:val="Normal"/>
              <w:widowControl/>
              <w:spacing w:before="0" w:after="0"/>
              <w:ind w:left="34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Подрядчик имеет право привлекать субподрядные организации для проведения всех этапов работ, в том числе ПИР, СМР, ПНР, составление проектно-сметной документации.</w:t>
            </w:r>
          </w:p>
          <w:p>
            <w:pPr>
              <w:pStyle w:val="Normal"/>
              <w:widowControl/>
              <w:spacing w:before="0" w:after="0"/>
              <w:ind w:left="34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Для выполнения работ Подрядчик или субподрядная организация, работающая от лица исполнителя, обязана иметь СРО на проектирование и производство СМР.</w:t>
            </w:r>
          </w:p>
          <w:p>
            <w:pPr>
              <w:pStyle w:val="Normal"/>
              <w:widowControl/>
              <w:spacing w:before="0" w:after="0"/>
              <w:ind w:left="34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Подрядчик должен иметь необходимые полномочия на интеграцию Автоматизированной информационно-измерительной системы на весь срок и объем оказания услуг в рамках настоящего Технического задания.</w:t>
              <w:br/>
              <w:t>Полномочия исполнителя должны быть подтверждены документально.</w:t>
            </w:r>
          </w:p>
        </w:tc>
      </w:tr>
      <w:tr>
        <w:trPr>
          <w:trHeight w:val="150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6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Требования к платформе автоматизированного учета воды: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6549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before="40" w:after="40"/>
              <w:ind w:hanging="425" w:left="77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Требуемый функционал системы.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Подрядчик обязан обеспечить выполнение следующих функций системы: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1.1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Обеспечить стабильную передачу данных от приборов учета (ПУ) в АИИС КУВ на сервере Заказчика.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Собственными силами или с привлечением субподрядчиков выполнить работы по расширению и адаптации системы для подключения новых объектов: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Многоквартирные дома (МКД): 40 шт.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Центральные тепловые пункты (ЦТП): 4 шт.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1.2. Сбор и отображение данных: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Обеспечить удаленный автоматический съем показаний с приборов учета потребителей с гарантией своевременности и достоверности передаваемых данных.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Реализовать в личном кабинете пользователя АИИС КУВ функционал объекта и привязки адресов установки ПУ к объектам на цифровой карте.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1.3. Классификация приборов учета и балансировка: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Предоставить возможность классификации ПУ на коммерческие (общедомовые узлы для расчетов с конечными потребителями) и технические (установленные на ЦТП,).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Обеспечить функционал для сопоставления источников (технических ПУ) и диктующих точек с объектами потребления (коммерческими ПУ) для формирования балансов и контроля качества поставляемых ресурсов.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1.4. Формирование отчетности и выгрузка данных: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Реализовать формирование отчетов о потреблении по заданным шаблонам с детализацией: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Тип отчета: почасовой, посуточный, помесячный.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Обязательные данные: дата/время, адрес, заводской номер ПУ, интеграторы на начало и конец периода, средние и суммарные значения за период.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Обеспечить возможность выгрузки единого файла с объемом подачи воды по выбранным объектам за указанный период.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Предоставить возможность отмечать в системе периоды нештатной работы ПУ, показания за которые выходят за нормативные или отсутствуют и не должны учитываться в расчетах, с обязательным отражением этих периодов в итоговых отчетах и выгрузках.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1.5. Мониторинг и оповещение: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Настроить систему оперативного оповещения (в течение 30 минут с момента регистрации события) ответственных пользователей при возникновении нештатных ситуаций (авария, отсутствие связи, вмешательство) через каналы: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Мессенджер MAX по возможности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Электронная почта (E-mail)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Реализовать автоматический подсчет и отображение длительности нештатных ситуаций в часах и сутках, показания за которые выходят за нормативные или отсутствуют и не должны учитываться в расчетах.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1.6. Управление доступом: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Обеспечить возможность предоставления удаленного доступа к системе для нескольких пользователей с гибким разграничением прав: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Индивидуальный перечень доступных для просмотра и управления объектов.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Индивидуальный перечень разрешенных функций и операций в АИИС.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1.7. Платформа должна позволять добавлять другие типы приборов учета и управления по проприетарным протоколам (300 и более протоколов);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1.8. Платформа может быть аттестована на коммерческий учет в дальнейшей эксплуатации.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before="40" w:after="40"/>
              <w:ind w:hanging="425" w:left="77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Обязанности Заказчика.</w:t>
            </w:r>
          </w:p>
          <w:p>
            <w:pPr>
              <w:pStyle w:val="Normal"/>
              <w:widowControl/>
              <w:spacing w:before="40" w:after="40"/>
              <w:ind w:left="77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Для выполнения работ Заказчик обязуется предоставить Подрядчику (или указанному им в официальном письменном обращении субподрядчику) доступ к личному кабинету администратора АИИС КУВ с необходимыми правами для настройки параметров интеграции, заведения данных новых объектов и конфигурации системы.</w:t>
            </w:r>
          </w:p>
        </w:tc>
      </w:tr>
      <w:tr>
        <w:trPr>
          <w:trHeight w:val="3385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7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Требования к оборудованию и материалам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654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Требования к общедомовым приборам учета:</w:t>
            </w:r>
          </w:p>
          <w:p>
            <w:pPr>
              <w:pStyle w:val="ListParagraph"/>
              <w:widowControl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color w:val="2C363A"/>
                <w:sz w:val="24"/>
              </w:rPr>
            </w:pPr>
            <w:r>
              <w:rPr>
                <w:rFonts w:eastAsia="Times New Roman" w:cs="Times New Roman"/>
                <w:color w:val="2C363A"/>
                <w:kern w:val="0"/>
                <w:sz w:val="24"/>
                <w:szCs w:val="20"/>
                <w:lang w:val="ru-RU" w:eastAsia="ru-RU" w:bidi="ar-SA"/>
              </w:rPr>
              <w:t>Прибор учета – счетчик с возможностью передачи данных.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color w:val="2C363A"/>
                <w:sz w:val="24"/>
              </w:rPr>
            </w:pPr>
            <w:r>
              <w:rPr>
                <w:rFonts w:eastAsia="Times New Roman" w:cs="Times New Roman"/>
                <w:color w:val="2C363A"/>
                <w:kern w:val="0"/>
                <w:sz w:val="24"/>
                <w:szCs w:val="20"/>
                <w:lang w:val="ru-RU" w:eastAsia="ru-RU" w:bidi="ar-SA"/>
              </w:rPr>
              <w:t>Фиксация показаний осуществляется на приборе независимо от наличия канала связи.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color w:val="2C363A"/>
                <w:sz w:val="24"/>
              </w:rPr>
            </w:pPr>
            <w:r>
              <w:rPr>
                <w:rFonts w:eastAsia="Times New Roman" w:cs="Times New Roman"/>
                <w:color w:val="2C363A"/>
                <w:kern w:val="0"/>
                <w:sz w:val="24"/>
                <w:szCs w:val="20"/>
                <w:lang w:val="ru-RU" w:eastAsia="ru-RU" w:bidi="ar-SA"/>
              </w:rPr>
              <w:t>При восстановлении канала связи прибор должен автоматически передавать крайние зафиксированные показания на верхний уровень системы.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Наличие действующего свидетельства об утверждении типа средств измерений, обеспечивающего метрологическую гарантию достоверности данных.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Класс точности (метрологический класс) - С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Погрешность прибора – не более 2%;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Максимальная рабочая температура – 40 гр. С;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Класс защиты – не менее IP68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Рабочее положение – горизонтально, вертикально, наклонно;</w:t>
            </w:r>
          </w:p>
          <w:p>
            <w:pPr>
              <w:pStyle w:val="Normal"/>
              <w:widowControl/>
              <w:numPr>
                <w:ilvl w:val="0"/>
                <w:numId w:val="6"/>
              </w:numPr>
              <w:spacing w:before="0" w:afterAutospacing="1"/>
              <w:jc w:val="both"/>
              <w:rPr>
                <w:color w:val="2C363A"/>
                <w:sz w:val="24"/>
              </w:rPr>
            </w:pPr>
            <w:r>
              <w:rPr>
                <w:rFonts w:eastAsia="Times New Roman" w:cs="Times New Roman"/>
                <w:color w:val="2C363A"/>
                <w:kern w:val="0"/>
                <w:sz w:val="24"/>
                <w:szCs w:val="20"/>
                <w:lang w:val="ru-RU" w:eastAsia="ru-RU" w:bidi="ar-SA"/>
              </w:rPr>
              <w:t>Гарантийный срок на счётчики не менее 24 месяца с даты монтажа;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Требования к модулям передачи данных.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eastAsia="Times New Roman" w:cs="Times New Roman"/>
                <w:color w:val="000000"/>
                <w:kern w:val="0"/>
                <w:sz w:val="22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0"/>
                <w:lang w:val="ru-RU" w:eastAsia="ru-RU" w:bidi="ar-SA"/>
              </w:rPr>
              <w:t>Модуль передачи данных должен иметь возможность передавать данные в платформу верхнего уровня по сети GPRS/Ethernet/NB IoT;</w:t>
            </w:r>
          </w:p>
          <w:p>
            <w:pPr>
              <w:pStyle w:val="Default1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jc w:val="both"/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  <w:t>Степень защиты корпуса– IP54;</w:t>
            </w:r>
          </w:p>
          <w:p>
            <w:pPr>
              <w:pStyle w:val="Default1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jc w:val="both"/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  <w:t>Средняя наработка на отказ, не менее 75000 ч.;</w:t>
            </w:r>
          </w:p>
          <w:p>
            <w:pPr>
              <w:pStyle w:val="Default1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jc w:val="both"/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  <w:t>Средний срок службы устройства сбора и передачи данных без учета элемента питания не менее 12лет;</w:t>
            </w:r>
          </w:p>
          <w:p>
            <w:pPr>
              <w:pStyle w:val="Default1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jc w:val="both"/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  <w:t>Гарантийный срок на модуль устройство сбора и передачи данных (УСПД) не менее 24 месяца с даты ввода в эксплуатацию.</w:t>
            </w:r>
          </w:p>
          <w:p>
            <w:pPr>
              <w:pStyle w:val="Default1"/>
              <w:widowControl/>
              <w:shd w:val="clear" w:color="auto" w:fill="FFFFFF" w:themeFill="background1"/>
              <w:spacing w:before="0" w:after="0"/>
              <w:jc w:val="both"/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</w:r>
          </w:p>
          <w:p>
            <w:pPr>
              <w:pStyle w:val="Heading3"/>
              <w:widowControl/>
              <w:shd w:val="clear" w:color="auto" w:fill="FFFFFF" w:themeFill="background1"/>
              <w:spacing w:lineRule="atLeast" w:line="340" w:before="363" w:after="181"/>
              <w:jc w:val="both"/>
              <w:rPr>
                <w:rFonts w:ascii="Times New Roman" w:hAnsi="Times New Roman"/>
                <w:color w:val="0F1115"/>
              </w:rPr>
            </w:pPr>
            <w:r>
              <w:rPr>
                <w:rFonts w:eastAsia="Times New Roman" w:cs="Times New Roman" w:ascii="Times New Roman" w:hAnsi="Times New Roman"/>
                <w:color w:val="0F1115"/>
                <w:kern w:val="0"/>
                <w:szCs w:val="20"/>
                <w:lang w:val="ru-RU" w:eastAsia="ru-RU" w:bidi="ar-SA"/>
              </w:rPr>
              <w:t>Требования к запасным частям, инструментам и принадлежностям (ЗИП):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F1115"/>
                <w:kern w:val="0"/>
                <w:sz w:val="24"/>
                <w:szCs w:val="20"/>
                <w:lang w:val="ru-RU" w:eastAsia="ru-RU" w:bidi="ar-SA"/>
              </w:rPr>
              <w:t>Подрядчик обязан обеспечить поставку ЗИП в объеме, достаточном для нормальной эксплуатации оборудования в течение 12 месяцев с момента ввода в эксплуатацию.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F1115"/>
                <w:kern w:val="0"/>
                <w:sz w:val="24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F1115"/>
                <w:kern w:val="0"/>
                <w:sz w:val="24"/>
                <w:szCs w:val="20"/>
                <w:lang w:val="ru-RU" w:eastAsia="ru-RU" w:bidi="ar-SA"/>
              </w:rPr>
              <w:t>ЗИП поставляется одновременно с основным оборудованием, если иное не указано в графике поставки.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F1115"/>
                <w:kern w:val="0"/>
                <w:sz w:val="24"/>
                <w:szCs w:val="20"/>
                <w:lang w:val="ru-RU" w:eastAsia="ru-RU" w:bidi="ar-SA"/>
              </w:rPr>
              <w:t>Все запасные части должны быть новыми, совместимыми с поставляемым оборудованием и иметь сертификаты соответствия (при необходимости).</w:t>
            </w:r>
          </w:p>
          <w:p>
            <w:pPr>
              <w:pStyle w:val="Normal"/>
              <w:widowControl/>
              <w:shd w:val="clear" w:color="auto" w:fill="FFFFFF" w:themeFill="background1"/>
              <w:spacing w:before="0" w:after="0"/>
              <w:jc w:val="both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hd w:val="clear" w:color="auto" w:fill="FFFFFF" w:themeFill="background1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Проводной канал передачи данных: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Система передачи данных от ПУ к УСПД основана на проводном интерфейсе RS485 или аналоге, обеспечивающем надежную передачу информации.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Кабельная инфраструктура должна соответствовать ГОСТ и обеспечивать защиту от внешних воздействий;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Максимальное расстояние передачи – не более 120 метров на одном сегменте;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Система должна обеспечивать бесперебойность работы и доступ к данным.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Для функционирования системы передачи данных на платформу АИИС КУВ Подрядчик предоставляет интернет канал передачи с трафиком не менее 50 МБ в месяц сроком на 12 месяцев.</w:t>
            </w:r>
          </w:p>
          <w:p>
            <w:pPr>
              <w:pStyle w:val="Normal"/>
              <w:widowControl/>
              <w:shd w:val="clear" w:color="auto" w:fill="FFFFFF" w:themeFill="background1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hd w:val="clear" w:color="auto" w:fill="FFFFFF" w:themeFill="background1"/>
              <w:spacing w:before="0" w:after="0"/>
              <w:jc w:val="both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Беспроводная система передачи данных: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Модуль передачи должен иметь автономное питание;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Расчётный срок службы элемента питания 5 лет при передаче данных не чаще чем раз в 7 суток;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Время работы элемента питания модуля передачи данных при опросе раз в сутки   должно составлять не менее 1 год;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Для функционирования системы передачи данных на платформу АИИС КУВ Подрядчик предоставляет SIM карты с трафиком не менее 50 МБ в месяц сроком на 12 месяцев.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Подрядчик обязуется предоставить Заказчику перечень SIM-карт с указанием номера и адреса установки.</w:t>
            </w:r>
          </w:p>
          <w:p>
            <w:pPr>
              <w:pStyle w:val="Default1"/>
              <w:widowControl/>
              <w:spacing w:before="0" w:after="0"/>
              <w:ind w:left="604"/>
              <w:jc w:val="left"/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hd w:val="clear" w:color="auto" w:fill="FFFFFF" w:themeFill="background1"/>
              <w:spacing w:before="0" w:after="0"/>
              <w:jc w:val="both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Комплектность: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поверенный прибор учета;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модуль передачи данных;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техническая документация (руководство по эксплуатации, методика поверки, свидетельство о поверке, паспорт, сертификат соответствия, свидетельство о внесении прибора учета в Государственный реестр средств измерений).</w:t>
            </w:r>
          </w:p>
          <w:p>
            <w:pPr>
              <w:pStyle w:val="ListParagraph"/>
              <w:widowControl/>
              <w:shd w:val="clear" w:color="auto" w:fill="FFFFFF" w:themeFill="background1"/>
              <w:spacing w:before="0" w:after="0"/>
              <w:ind w:left="36"/>
              <w:contextualSpacing/>
              <w:jc w:val="both"/>
              <w:rPr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ЗИП:</w:t>
            </w:r>
          </w:p>
          <w:p>
            <w:pPr>
              <w:pStyle w:val="ListParagraph"/>
              <w:widowControl/>
              <w:numPr>
                <w:ilvl w:val="0"/>
                <w:numId w:val="6"/>
              </w:numPr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 комплект поставки оборудования включить резервный ЗИП для модуля передачи данных в количестве - 1шт.на весь объем поставляемого оборудования</w:t>
            </w:r>
          </w:p>
          <w:p>
            <w:pPr>
              <w:pStyle w:val="ListParagraph"/>
              <w:widowControl/>
              <w:shd w:val="clear" w:color="auto" w:fill="FFFFFF" w:themeFill="background1"/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hd w:val="clear" w:color="auto" w:fill="FFFFFF" w:themeFill="background1"/>
              <w:spacing w:before="0" w:after="0"/>
              <w:ind w:firstLine="317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Все материалы и оборудование, применяемые для устройства узла учета должны иметь действующие сертификаты и соответствовать ГОСТ, ТУ и другим нормативным документам, действующим на территории Российской Федерации.</w:t>
            </w:r>
          </w:p>
          <w:p>
            <w:pPr>
              <w:pStyle w:val="ListParagraph"/>
              <w:widowControl/>
              <w:shd w:val="clear" w:color="auto" w:fill="FFFFFF" w:themeFill="background1"/>
              <w:spacing w:before="0" w:after="0"/>
              <w:ind w:firstLine="317" w:left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hd w:val="clear" w:color="auto" w:fill="FFFFFF" w:themeFill="background1"/>
              <w:spacing w:lineRule="atLeast" w:line="234" w:before="0" w:after="0"/>
              <w:ind w:firstLine="317"/>
              <w:jc w:val="both"/>
              <w:rPr>
                <w:rFonts w:ascii="Calibri" w:hAnsi="Calibri"/>
                <w:b/>
                <w:sz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Требования к оборудованию и материалам:</w:t>
            </w:r>
          </w:p>
          <w:p>
            <w:pPr>
              <w:pStyle w:val="Normal"/>
              <w:widowControl/>
              <w:shd w:val="clear" w:color="auto" w:fill="FFFFFF" w:themeFill="background1"/>
              <w:spacing w:before="0" w:after="0"/>
              <w:ind w:firstLine="317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допускаются к применению средства измерений утвержденного типа, прошедшие поверку, а также обеспечивающие соблюдение установленных законодательством Российской Федерации об обеспечении единства измерений обязательных требований, включая обязательные метрологические требования к измерениям, обязательные метрологические и технические требования к средствам измерений.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</w:tr>
      <w:tr>
        <w:trPr>
          <w:trHeight w:val="1401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8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Требования к программному обеспечению АИИС КУВ</w:t>
            </w:r>
          </w:p>
        </w:tc>
        <w:tc>
          <w:tcPr>
            <w:tcW w:w="6549" w:type="dxa"/>
            <w:tcBorders/>
          </w:tcPr>
          <w:p>
            <w:pPr>
              <w:pStyle w:val="Normal"/>
              <w:widowControl w:val="false"/>
              <w:spacing w:before="120" w:after="0"/>
              <w:ind w:left="147" w:right="131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 части информационного функционала, настройки и формирования отчетно-учетной документации АИИС КУВ должна обеспечивать: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сбор и обработку данных приборов учета по различным каналам связи (Ethernet, и др.);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хранение полученных данных в базе данных (текущие значения часовые и суточные архивы, настроечные параметры);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анализ полученных данных;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мониторинг состояния приборов учета;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наличие встроенного математического редактора (универсальный инструмент задания логических условий для генерации составных параметров, аварийных событий и пр. в Системе);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анализ потребления ресурсов, а также их сравнение с нормативными и расчетными нагрузками;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анализ причин аварийных ситуаций и инцидентов, включая действия ответственного персонала;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автоматическое формирование графиков поверок и замены метрологического оборудования и средств измерений;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расчет потребленного ресурса за отчетный период и отклонений от расчетных/плановых показателей;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построение балансов ресурсов;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досчет потребленного ресурса за период времени нештатной работы по среднему значению потребления;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визуализацию информации на графиках, с гибко настраиваемыми переменными (текущими, архивными, интегральными) на одной временной шкале и периодом, за который они выводятся;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визуализацию информации в таблицах, с гибко настраиваемыми переменными (текущими, архивными, интегральными) и периодами, за который они выводятся;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визуализацию оперативной информации на активных мнемосхемах АРМов;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вывод отчетов о потреблении ресурсов, и справок о производстве расчета (с возможностью самостоятельного построения и редактирования необходимых отчетных форм);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выгрузку из системы по критериям, описанных в шаблонах и статистических отчетах;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встроенное многопоточное редактирование системы (активные мнемосхемы, отчеты, аварийные и событийные сценарии и т.п.), включая соответствующие редакторы;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наличие встроенного редактора отчетов (создание и редактирование отчетных форм из данных с устройств, включая коммерческие, технические и аналитические отчеты);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наличие встроенного редактора аварий и событий (создание и редактирование событийных и аварийных сценариев для объектов и групп устройств, включая текущие, архивные и интегральные значения переменных);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обеспечение возможности свободной создания и редактирования групп устройств на доступных объектах с построением общих мнемосхем, отчетов, графиков и таблиц для каждой группы индивидуально;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ведение журнала работ и переключения режимов работы объектов в Системе;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создание и редактирование собственных переменных (в текущих, архивных и интегральных значениях) для анализа и оценки данных, с применением математического редактора и любых переменных с устройств или их групп;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настраиваемые уведомление об авариях пользователям в системе (со звуковым оповещением), электронной почтой и смс;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настраиваемую рассылку формируемых отчетов с объектов или их групп пользователям по электронной почте;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возможность удаленного доступа к данным и сервисам системы для оперативного принятия решений;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разграничение уровней доступа пользователей по логину и паролю или с помощью электронно-цифровой подписи (ЭЦП);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b/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интуитивно понятный интерфейс, и не требовать наличия специализированных знаний основ программирования для работы;</w:t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76" w:before="120" w:after="0"/>
              <w:contextualSpacing/>
              <w:jc w:val="left"/>
              <w:rPr>
                <w:b/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наличие открытого API для самостоятельной интеграции стороннего ПО</w:t>
            </w:r>
          </w:p>
        </w:tc>
      </w:tr>
      <w:tr>
        <w:trPr>
          <w:trHeight w:val="1005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9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Требования к разработке сметной документации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6549" w:type="dxa"/>
            <w:tcBorders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Разработать раздел </w:t>
            </w: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0"/>
                <w:lang w:val="ru-RU" w:eastAsia="ru-RU" w:bidi="ar-SA"/>
              </w:rPr>
              <w:t>«Смета на строительство, реконструкцию, капитальный ремонт, снос объекта капитального строительства»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проектной документации по объекту руководствуясь требованиями следующих документов, но не ограничиваясь ими: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пункты 28-31 Положения «О составе разделов проектной документации и требованиях к их содержанию», утвержденного постановлением Правительства Российской Федерации от 16.02.2008 № 87;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приказ Министерства строительства и жилищно-коммунального хозяйства Российской Федерации от 25.05.2021 № 325/пр «Об утверждении Методики определения дополнительных затрат при производстве работ в зимнее время»;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приказ Министерства строительства и жилищно-коммунального хозяйства Российской Федерации от 19.06.2020 № 332/пр «Об утверждении Методики определения затрат на строительство временных зданий и сооружений, включаемых в сводный сметный расчет стоимости строительства объектов капитального строительства»;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приказ Министерства строительства и жилищно-коммунального хозяйства Российской Федерации от 04.08.2020 № 421/пр «Об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 Список изменяющих документов (в ред. Приказа Минстроя России от 07.07.2022 № 557/пр); • приказ Министерства строительства и жилищно-коммунального хозяйства Российской Федерации от 11.12.2020 № 774/пр «Об утверждении Методики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строительства» Список изменяющих документов (в ред. Приказа Минстроя России от 22.04.2022 № 317/пр);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приказ Министерства строительства и жилищно-коммунального хозяйства Российской Федерации от 21.12.2020 № 812/пр «Об утверждении Методики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строительства» Список изменяющих документов (в ред. Приказа Минстроя России от 02.09.2021 № 636/пр, от 26.07.2022 № 611/пр);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приказ Министерства строительства и жилищно-коммунального хозяйства Российской Федерации от 02.06.2020 № 297/пр «Об утверждении Методики определения затрат на осуществление функций технического заказчика».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б) Требования к подготовке сметной документации по объекту: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1. Ведомости объемов работ выполнить с приведением: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наименований работ;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единиц измерения работ;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количества работ;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ссылок на чертежи;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ссылок на спецификации;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расчета объемов работ;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расхода материальных ресурсов (с приведением формул расчета);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иных данных, необходимых для определения сметной стоимости строительства объекта.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2. Стоимость строительства объекта определять ресурсно-индексным методом на основании ФСНБ -2022 (ФССЦ  ФСЭМ) и КСР и других действующих нормативно-методических документов Российской Федерации.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3. Сметы на пусконаладочные работы должны соответствовать программам пусконаладочных работ, включающих объемы пусконаладочных работ.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4. К сводному сметному расчету, представляемому на утверждение в составе проектной документации, составить пояснительную записку, в которой указать: перечень каталогов сметных нормативов, принятых для составления смет; указать все особенности определения сметной стоимости для данного объекта.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5. Индексы изменения сметной стоимости строительства применить на основании письма Министерства строительства и жилищно-коммунального хозяйства Российской Федерации по группам однородных строительных ресурсов.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6. При отсутствии во ФГИС ЦС данных о сметных ценах в текущем уровне цен на отдельные материальные ресурсы и оборудование, а также сметных нормативов на отдельные виды работ и услуг, подготовить таблицу конъюнктурного анализа цен и коммерческие предложения (от трех поставщиков) для включения соответствующей информации в локальный сметный расчет. Коммерческие предложения на материалы и оборудование должны быть сброшюрованы отдельной книгой и подписаны уполномоченным лицом заказчика.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 документах, обосновывающих стоимость в текущем уровне цен соответствующих материальных ресурсов и оборудования и отдельных видов работ и услуг, предоставляемых производителями (поставщиками) или формируемых на основании данных из открытых и (или) официальных источников, должна содержаться следующая информация: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наименование производителя (поставщика), его идентификационный номер налогоплательщика (далее - ИНН),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контактные данные, сайт в информационно-телекоммуникационной сети "Интернет" (при наличии),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 исполнителе (исполнителях) (при наличии) такого обосновывающего документа с указанием фамилий и инициалов либо иных реквизитов, необходимых для идентификации этих лиц,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дата составления документа, дата и (или) сроках действия ценовых предложений,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•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об учете (или не учете) в ценах отдельных затрат (в частности, на перевозку, шефмонтаж, шеф наладку) и налога на добавленную стоимость (далее – НДС).</w:t>
            </w:r>
          </w:p>
          <w:p>
            <w:pPr>
              <w:pStyle w:val="ListParagraph"/>
              <w:widowControl w:val="false"/>
              <w:numPr>
                <w:ilvl w:val="0"/>
                <w:numId w:val="8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Согласно Методики 421, в сводном сметном расчете предусмотреть перечень и порядок определения прочих и лимитированных затрат, включаемых в главы 9-12 сводного сметного расчета стоимости строительства, а также учесть затраты: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–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на проведение государственной экспертизы проверки достоверности определения сметной стоимости;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- на разработку проектной и рабочей документации в объеме стоимости настоящего договора;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- на утилизацию мусора;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- на осуществление технологического присоединения с учетом стоимости ресурсов;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- на временные здания и сооружения;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- на непредвиденные расходы;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- другие затраты по согласованию с Заказчиком.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8. Сметная документация передается по накладной Техническому заказчику (застройщику) в четырех экземплярах на бумажном носителе в сброшюрованном виде и в одном экземпляре на электронном носителе в виде файлов форматов программ «Гранд-смета», «MS Excel», xml, gge,  а также файла формата PDF, подписанного электронной цифровой подписью Генподрядчика.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9. Представить отдельный расчет физических объемов по всем видам строительно-монтажных работ, расчет должен быть согласован исполнителями проектной организации и Заказчиком, заверен печатью.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10. Сметную документацию разработать согласно рабочей документации.</w:t>
            </w:r>
          </w:p>
        </w:tc>
      </w:tr>
      <w:tr>
        <w:trPr>
          <w:trHeight w:val="5488" w:hRule="exac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10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Требования к составу проектной документации, в том числе требования о разработке разделов проектной документации, наличие которых не является обязательным</w:t>
            </w:r>
          </w:p>
        </w:tc>
        <w:tc>
          <w:tcPr>
            <w:tcW w:w="6549" w:type="dxa"/>
            <w:tcBorders/>
          </w:tcPr>
          <w:p>
            <w:pPr>
              <w:pStyle w:val="Normal"/>
              <w:widowControl/>
              <w:spacing w:before="0" w:after="0"/>
              <w:ind w:firstLine="11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Стадия проектирования – РД.</w:t>
            </w:r>
          </w:p>
          <w:p>
            <w:pPr>
              <w:pStyle w:val="Normal"/>
              <w:widowControl/>
              <w:spacing w:before="0" w:after="0"/>
              <w:ind w:firstLine="11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Состав рабочей документации должен соответствовать требованиям:</w:t>
            </w:r>
          </w:p>
          <w:p>
            <w:pPr>
              <w:pStyle w:val="Normal"/>
              <w:widowControl/>
              <w:spacing w:lineRule="atLeast" w:line="100"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 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-  Градостроительного кодекса РФ ФЗ-190 от 29.12.2004г.;</w:t>
            </w:r>
          </w:p>
          <w:p>
            <w:pPr>
              <w:pStyle w:val="Normal"/>
              <w:widowControl/>
              <w:spacing w:before="0" w:after="0"/>
              <w:ind w:firstLine="11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-  Положению о составе разделов проектной документации и требованиях к их содержанию, утвержденному постановлением правительства РФ от 16.02.2008 г. № 87,  в объеме необходимом для прохождения строительной экспертизы и реализации поставленной цели проектирования.</w:t>
            </w:r>
          </w:p>
          <w:p>
            <w:pPr>
              <w:pStyle w:val="Normal"/>
              <w:widowControl/>
              <w:spacing w:before="0" w:after="0"/>
              <w:ind w:firstLine="11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spacing w:val="-1"/>
                <w:kern w:val="0"/>
                <w:sz w:val="24"/>
                <w:szCs w:val="20"/>
                <w:lang w:val="ru-RU" w:eastAsia="ru-RU" w:bidi="ar-SA"/>
              </w:rPr>
              <w:t xml:space="preserve">Материалы  разделов оформить в соответствии с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"ГОСТ Р 21.1101-2013. Система проектной документации для строительства. Основные требования к проектной и рабочей документации".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Дополнительные разделы выполнить при необходимости, в соответствии с законодательными и нормативными актами РФ.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Рабочая документация, передаваемая Заказчику: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4 экз. рабочей документации на бумажном носителе,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 экз. в электронном виде на магнитном носителе.</w:t>
            </w:r>
          </w:p>
        </w:tc>
      </w:tr>
      <w:tr>
        <w:trPr>
          <w:trHeight w:val="3254" w:hRule="exac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11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Результаты инженерных изысканий (при их отсутствии заданием на проектирование предусматривается необходимость выполнения инженерных изысканий в объеме, необходимом и достаточном для подготовки проектной документации)</w:t>
            </w:r>
          </w:p>
        </w:tc>
        <w:tc>
          <w:tcPr>
            <w:tcW w:w="654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Предусмотреть выполнение инженерных изысканий в объеме, необходимом и достаточном для подготовки рабочей документации (при необходимости).</w:t>
            </w:r>
          </w:p>
        </w:tc>
      </w:tr>
      <w:tr>
        <w:trPr>
          <w:trHeight w:val="4264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12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Требования к месту доступа оказания услуг, проведение согласований</w:t>
            </w:r>
          </w:p>
        </w:tc>
        <w:tc>
          <w:tcPr>
            <w:tcW w:w="654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Заказчик организовывает доступ к месту производства работ согласно План-графику производства работ. В случае однократного отказа обслуживающей организации в обеспечении доступа Исполнителю к месту производства работ, Заказчик и Подрядчик согласовывают изменение План-графика производства работ</w:t>
            </w:r>
            <w:r>
              <w:rPr>
                <w:rFonts w:eastAsia="Times New Roman" w:cs="Times New Roman"/>
                <w:color w:val="FF0000"/>
                <w:kern w:val="0"/>
                <w:sz w:val="24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(смещение сроков производства работ).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 случае отсутствия технической возможности монтажа и ПНР прибора учета (объект затоплен,  отсутствие доступа на объект) - производится замена/отмена адресов к монтажу с составлением акта, по согласованию с Заказчиком.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При необходимости (в случае неисправности входной запорной арматуры МКД) необходимые технологические отключения осуществляются Заказчиком.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</w:tr>
      <w:tr>
        <w:trPr>
          <w:trHeight w:val="1117" w:hRule="atLeast"/>
        </w:trPr>
        <w:tc>
          <w:tcPr>
            <w:tcW w:w="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13</w:t>
            </w:r>
          </w:p>
        </w:tc>
        <w:tc>
          <w:tcPr>
            <w:tcW w:w="3377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color w:themeColor="text1" w:val="000000"/>
                <w:sz w:val="24"/>
              </w:rPr>
            </w:pPr>
            <w:r>
              <w:rPr>
                <w:rFonts w:eastAsia="Times New Roman" w:cs="Times New Roman"/>
                <w:color w:themeColor="text1" w:val="000000"/>
                <w:kern w:val="0"/>
                <w:sz w:val="24"/>
                <w:szCs w:val="20"/>
                <w:lang w:val="ru-RU" w:eastAsia="ru-RU" w:bidi="ar-SA"/>
              </w:rPr>
              <w:t>Порядок выполнения и оплаты работ, не учтенных в Техническом задании.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6549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color w:themeColor="text1" w:val="000000"/>
                <w:sz w:val="24"/>
              </w:rPr>
            </w:pPr>
            <w:r>
              <w:rPr>
                <w:rFonts w:eastAsia="Times New Roman" w:cs="Times New Roman"/>
                <w:color w:themeColor="text1" w:val="000000"/>
                <w:kern w:val="0"/>
                <w:sz w:val="24"/>
                <w:szCs w:val="20"/>
                <w:lang w:val="ru-RU" w:eastAsia="ru-RU" w:bidi="ar-SA"/>
              </w:rPr>
              <w:t>Выполнение работ, не предусмотренных настоящим Техническим заданием, а также работ, необходимость в которых возникла в процессе выполнения контракта, осуществляется на основании отдельного соглашения сторон. Для этого Исполнитель составляет и согласовывает с Заказчиком Акт выявленных дополнительных работ и Дополнительную смету. Работы начинаются только после подписания Заказчиком указанных документов.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Основаниями для выполнения дополнительных работ являются:</w:t>
            </w:r>
          </w:p>
          <w:p>
            <w:pPr>
              <w:pStyle w:val="ListParagraph"/>
              <w:widowControl/>
              <w:numPr>
                <w:ilvl w:val="0"/>
                <w:numId w:val="9"/>
              </w:numPr>
              <w:spacing w:before="0" w:after="0"/>
              <w:contextualSpacing/>
              <w:jc w:val="left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Выявление в процессе Проведения обследования и выполнения работ дефектов или обстоятельств, которые не могли быть установлены при составлении настоящего ТЗ и которые делают выполнение работ по первоначальной смете технически невозможным или нецелесообразным.</w:t>
            </w:r>
          </w:p>
          <w:p>
            <w:pPr>
              <w:pStyle w:val="ListParagraph"/>
              <w:widowControl/>
              <w:numPr>
                <w:ilvl w:val="0"/>
                <w:numId w:val="9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Прямое письменное указание Заказчика на выполнение работ, не входящих в первоначальный объем.</w:t>
            </w:r>
          </w:p>
          <w:p>
            <w:pPr>
              <w:pStyle w:val="ListParagraph"/>
              <w:widowControl/>
              <w:numPr>
                <w:ilvl w:val="0"/>
                <w:numId w:val="9"/>
              </w:numPr>
              <w:spacing w:before="0" w:after="0"/>
              <w:contextualSpacing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Изменение нормативных требований, вступившее в силу после даты заключения контракта.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Все работы, выполненные на основании Актов выявленных дополнительных работ и Дополнительных смет, подлежат обязательному включению в итоговую рабочую и исполнительную документацию. Подрядчик предоставляет его Заказчику в составе итогового пакета документов перед подписанием Акта приемки работ.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sz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0"/>
                <w:lang w:val="ru-RU" w:eastAsia="ru-RU" w:bidi="ar-SA"/>
              </w:rPr>
              <w:t>Оплата производится на основании Акта выполненных дополнительных работ (форма КС-2) и Справки о стоимости (форма КС-3), предоставляемых Исполнителем после полного выполнения объема работ.</w:t>
            </w:r>
          </w:p>
        </w:tc>
      </w:tr>
    </w:tbl>
    <w:p>
      <w:pPr>
        <w:pStyle w:val="Normal"/>
        <w:jc w:val="center"/>
        <w:rPr>
          <w:sz w:val="22"/>
        </w:rPr>
      </w:pPr>
      <w:r>
        <w:rPr>
          <w:sz w:val="22"/>
        </w:rPr>
      </w:r>
    </w:p>
    <w:p>
      <w:pPr>
        <w:pStyle w:val="Normal"/>
        <w:jc w:val="center"/>
        <w:rPr>
          <w:sz w:val="22"/>
        </w:rPr>
      </w:pPr>
      <w:r>
        <w:rPr>
          <w:sz w:val="22"/>
        </w:rPr>
      </w:r>
    </w:p>
    <w:p>
      <w:pPr>
        <w:pStyle w:val="Normal"/>
        <w:jc w:val="center"/>
        <w:rPr>
          <w:sz w:val="22"/>
        </w:rPr>
      </w:pPr>
      <w:r>
        <w:rPr>
          <w:highlight w:val="yellow"/>
        </w:rPr>
      </w:r>
    </w:p>
    <w:sectPr>
      <w:type w:val="nextPage"/>
      <w:pgSz w:w="11906" w:h="16838"/>
      <w:pgMar w:left="1134" w:right="567" w:gutter="0" w:header="0" w:top="567" w:footer="0" w:bottom="567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Cambria">
    <w:charset w:val="01"/>
    <w:family w:val="roman"/>
    <w:pitch w:val="variable"/>
  </w:font>
  <w:font w:name="XO Thames">
    <w:charset w:val="01"/>
    <w:family w:val="roman"/>
    <w:pitch w:val="variable"/>
  </w:font>
  <w:font w:name="Tahoma">
    <w:charset w:val="01"/>
    <w:family w:val="swiss"/>
    <w:pitch w:val="variable"/>
  </w:font>
  <w:font w:name="Courier New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  <w:font w:name="Arial Narrow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48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20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92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4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6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8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80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52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45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48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1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502" w:hanging="360"/>
      </w:pPr>
      <w:rPr>
        <w:sz w:val="24"/>
        <w:i w:val="false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7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color w:val="000000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link w:val="1"/>
    <w:qFormat/>
    <w:rsid w:val="00e01924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"/>
    <w:qFormat/>
    <w:rsid w:val="00e01924"/>
    <w:pPr>
      <w:keepNext w:val="true"/>
      <w:numPr>
        <w:ilvl w:val="0"/>
        <w:numId w:val="10"/>
      </w:numPr>
      <w:spacing w:before="240" w:after="60"/>
      <w:outlineLvl w:val="0"/>
    </w:pPr>
    <w:rPr>
      <w:rFonts w:ascii="Arial" w:hAnsi="Arial"/>
      <w:b/>
      <w:sz w:val="32"/>
    </w:rPr>
  </w:style>
  <w:style w:type="paragraph" w:styleId="Heading2">
    <w:name w:val="heading 2"/>
    <w:basedOn w:val="Normal"/>
    <w:next w:val="Normal"/>
    <w:link w:val="21"/>
    <w:uiPriority w:val="9"/>
    <w:qFormat/>
    <w:rsid w:val="00e01924"/>
    <w:pPr>
      <w:keepNext w:val="true"/>
      <w:keepLines/>
      <w:spacing w:before="200" w:after="0"/>
      <w:outlineLvl w:val="1"/>
    </w:pPr>
    <w:rPr>
      <w:rFonts w:ascii="Cambria" w:hAnsi="Cambria"/>
      <w:b/>
      <w:color w:val="4F81BD"/>
      <w:sz w:val="26"/>
    </w:rPr>
  </w:style>
  <w:style w:type="paragraph" w:styleId="Heading3">
    <w:name w:val="heading 3"/>
    <w:basedOn w:val="Normal"/>
    <w:next w:val="Normal"/>
    <w:link w:val="3"/>
    <w:uiPriority w:val="9"/>
    <w:qFormat/>
    <w:rsid w:val="00e01924"/>
    <w:pPr>
      <w:keepNext w:val="true"/>
      <w:keepLines/>
      <w:spacing w:before="40" w:after="0"/>
      <w:outlineLvl w:val="2"/>
    </w:pPr>
    <w:rPr>
      <w:rFonts w:ascii="Cambria" w:hAnsi="Cambria" w:asciiTheme="majorHAnsi" w:hAnsiTheme="majorHAnsi"/>
      <w:color w:themeColor="accent1" w:themeShade="7f" w:val="243F60"/>
      <w:sz w:val="24"/>
    </w:rPr>
  </w:style>
  <w:style w:type="paragraph" w:styleId="Heading4">
    <w:name w:val="heading 4"/>
    <w:next w:val="Normal"/>
    <w:link w:val="41"/>
    <w:uiPriority w:val="9"/>
    <w:qFormat/>
    <w:rsid w:val="00e01924"/>
    <w:pPr>
      <w:widowControl/>
      <w:bidi w:val="0"/>
      <w:spacing w:before="120" w:after="120"/>
      <w:jc w:val="both"/>
      <w:outlineLvl w:val="3"/>
    </w:pPr>
    <w:rPr>
      <w:rFonts w:ascii="XO Thames" w:hAnsi="XO Thames" w:eastAsia="Times New Roman" w:cs="Times New Roman"/>
      <w:b/>
      <w:color w:val="000000"/>
      <w:kern w:val="0"/>
      <w:sz w:val="24"/>
      <w:szCs w:val="20"/>
      <w:lang w:val="ru-RU" w:eastAsia="ru-RU" w:bidi="ar-SA"/>
    </w:rPr>
  </w:style>
  <w:style w:type="paragraph" w:styleId="Heading5">
    <w:name w:val="heading 5"/>
    <w:basedOn w:val="Normal"/>
    <w:next w:val="Normal"/>
    <w:link w:val="5"/>
    <w:uiPriority w:val="9"/>
    <w:qFormat/>
    <w:rsid w:val="00e01924"/>
    <w:pPr>
      <w:keepNext w:val="true"/>
      <w:keepLines/>
      <w:spacing w:before="200" w:after="0"/>
      <w:outlineLvl w:val="4"/>
    </w:pPr>
    <w:rPr>
      <w:rFonts w:ascii="Cambria" w:hAnsi="Cambria"/>
      <w:color w:val="243F6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бычный1"/>
    <w:qFormat/>
    <w:rsid w:val="00e01924"/>
    <w:rPr>
      <w:rFonts w:ascii="Times New Roman" w:hAnsi="Times New Roman"/>
    </w:rPr>
  </w:style>
  <w:style w:type="character" w:styleId="2" w:customStyle="1">
    <w:name w:val="Оглавление 2 Знак"/>
    <w:qFormat/>
    <w:rsid w:val="00e01924"/>
    <w:rPr>
      <w:rFonts w:ascii="XO Thames" w:hAnsi="XO Thames"/>
      <w:sz w:val="28"/>
    </w:rPr>
  </w:style>
  <w:style w:type="character" w:styleId="4" w:customStyle="1">
    <w:name w:val="Оглавление 4 Знак"/>
    <w:qFormat/>
    <w:rsid w:val="00e01924"/>
    <w:rPr>
      <w:rFonts w:ascii="XO Thames" w:hAnsi="XO Thames"/>
      <w:sz w:val="28"/>
    </w:rPr>
  </w:style>
  <w:style w:type="character" w:styleId="6" w:customStyle="1">
    <w:name w:val="Оглавление 6 Знак"/>
    <w:qFormat/>
    <w:rsid w:val="00e01924"/>
    <w:rPr>
      <w:rFonts w:ascii="XO Thames" w:hAnsi="XO Thames"/>
      <w:sz w:val="28"/>
    </w:rPr>
  </w:style>
  <w:style w:type="character" w:styleId="7" w:customStyle="1">
    <w:name w:val="Оглавление 7 Знак"/>
    <w:qFormat/>
    <w:rsid w:val="00e01924"/>
    <w:rPr>
      <w:rFonts w:ascii="XO Thames" w:hAnsi="XO Thames"/>
      <w:sz w:val="28"/>
    </w:rPr>
  </w:style>
  <w:style w:type="character" w:styleId="Style9" w:customStyle="1">
    <w:name w:val="Основной текст Знак"/>
    <w:basedOn w:val="1"/>
    <w:qFormat/>
    <w:rsid w:val="00e01924"/>
    <w:rPr>
      <w:rFonts w:ascii="Times New Roman" w:hAnsi="Times New Roman"/>
      <w:sz w:val="28"/>
    </w:rPr>
  </w:style>
  <w:style w:type="character" w:styleId="Endnote" w:customStyle="1">
    <w:name w:val="Endnote"/>
    <w:basedOn w:val="1"/>
    <w:link w:val="Endnote1"/>
    <w:qFormat/>
    <w:rsid w:val="00e01924"/>
    <w:rPr>
      <w:rFonts w:ascii="Times New Roman" w:hAnsi="Times New Roman"/>
    </w:rPr>
  </w:style>
  <w:style w:type="character" w:styleId="3" w:customStyle="1">
    <w:name w:val="Заголовок 3 Знак"/>
    <w:basedOn w:val="1"/>
    <w:qFormat/>
    <w:rsid w:val="00e01924"/>
    <w:rPr>
      <w:rFonts w:ascii="Cambria" w:hAnsi="Cambria" w:asciiTheme="majorHAnsi" w:hAnsiTheme="majorHAnsi"/>
      <w:color w:themeColor="accent1" w:themeShade="7f" w:val="243F60"/>
      <w:sz w:val="24"/>
    </w:rPr>
  </w:style>
  <w:style w:type="character" w:styleId="Style10">
    <w:name w:val="Символ сноски"/>
    <w:basedOn w:val="DefaultParagraphFont"/>
    <w:link w:val="14"/>
    <w:qFormat/>
    <w:rsid w:val="00e0192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1" w:customStyle="1">
    <w:name w:val="Текст примечания Знак"/>
    <w:basedOn w:val="1"/>
    <w:qFormat/>
    <w:rsid w:val="00e01924"/>
    <w:rPr>
      <w:rFonts w:ascii="Times New Roman" w:hAnsi="Times New Roman"/>
    </w:rPr>
  </w:style>
  <w:style w:type="character" w:styleId="Style12" w:customStyle="1">
    <w:name w:val="договор"/>
    <w:basedOn w:val="1"/>
    <w:link w:val="15"/>
    <w:qFormat/>
    <w:rsid w:val="00e01924"/>
    <w:rPr>
      <w:rFonts w:ascii="Times New Roman" w:hAnsi="Times New Roman"/>
      <w:sz w:val="24"/>
    </w:rPr>
  </w:style>
  <w:style w:type="character" w:styleId="Style13" w:customStyle="1">
    <w:name w:val="Текст выноски Знак"/>
    <w:basedOn w:val="1"/>
    <w:link w:val="BalloonText"/>
    <w:qFormat/>
    <w:rsid w:val="00e01924"/>
    <w:rPr>
      <w:rFonts w:ascii="Tahoma" w:hAnsi="Tahoma"/>
      <w:sz w:val="16"/>
    </w:rPr>
  </w:style>
  <w:style w:type="character" w:styleId="Style14" w:customStyle="1">
    <w:name w:val="Основной текст с отступом Знак"/>
    <w:basedOn w:val="1"/>
    <w:qFormat/>
    <w:rsid w:val="00e01924"/>
    <w:rPr>
      <w:rFonts w:ascii="Times New Roman" w:hAnsi="Times New Roman"/>
      <w:sz w:val="28"/>
    </w:rPr>
  </w:style>
  <w:style w:type="character" w:styleId="Style15" w:customStyle="1">
    <w:name w:val="Абзац списка Знак"/>
    <w:basedOn w:val="1"/>
    <w:link w:val="ListParagraph"/>
    <w:qFormat/>
    <w:rsid w:val="00e01924"/>
    <w:rPr>
      <w:rFonts w:ascii="Times New Roman" w:hAnsi="Times New Roman"/>
    </w:rPr>
  </w:style>
  <w:style w:type="character" w:styleId="Default" w:customStyle="1">
    <w:name w:val="Default"/>
    <w:basedOn w:val="1"/>
    <w:link w:val="Default1"/>
    <w:qFormat/>
    <w:rsid w:val="00e01924"/>
    <w:rPr>
      <w:rFonts w:ascii="Times New Roman" w:hAnsi="Times New Roman"/>
      <w:color w:val="000000"/>
      <w:sz w:val="24"/>
    </w:rPr>
  </w:style>
  <w:style w:type="character" w:styleId="Style16" w:customStyle="1">
    <w:name w:val="Нижний колонтитул Знак"/>
    <w:basedOn w:val="1"/>
    <w:qFormat/>
    <w:rsid w:val="00e01924"/>
    <w:rPr>
      <w:rFonts w:ascii="Times New Roman" w:hAnsi="Times New Roman"/>
    </w:rPr>
  </w:style>
  <w:style w:type="character" w:styleId="31" w:customStyle="1">
    <w:name w:val="Оглавление 3 Знак"/>
    <w:qFormat/>
    <w:rsid w:val="00e01924"/>
    <w:rPr>
      <w:rFonts w:ascii="XO Thames" w:hAnsi="XO Thames"/>
      <w:sz w:val="28"/>
    </w:rPr>
  </w:style>
  <w:style w:type="character" w:styleId="Style17" w:customStyle="1">
    <w:name w:val="Без интервала Знак"/>
    <w:link w:val="NoSpacing"/>
    <w:qFormat/>
    <w:rsid w:val="00e01924"/>
    <w:rPr>
      <w:rFonts w:ascii="Times New Roman" w:hAnsi="Times New Roman"/>
    </w:rPr>
  </w:style>
  <w:style w:type="character" w:styleId="ds-markdown-paragraph" w:customStyle="1">
    <w:name w:val="ds-markdown-paragraph"/>
    <w:basedOn w:val="1"/>
    <w:link w:val="ds-markdown-paragraph1"/>
    <w:qFormat/>
    <w:rsid w:val="00e01924"/>
    <w:rPr>
      <w:rFonts w:ascii="Times New Roman" w:hAnsi="Times New Roman"/>
      <w:sz w:val="24"/>
    </w:rPr>
  </w:style>
  <w:style w:type="character" w:styleId="5" w:customStyle="1">
    <w:name w:val="Заголовок 5 Знак"/>
    <w:basedOn w:val="1"/>
    <w:qFormat/>
    <w:rsid w:val="00e01924"/>
    <w:rPr>
      <w:rFonts w:ascii="Cambria" w:hAnsi="Cambria"/>
      <w:color w:val="243F60"/>
    </w:rPr>
  </w:style>
  <w:style w:type="character" w:styleId="11" w:customStyle="1">
    <w:name w:val="Заголовок 1 Знак"/>
    <w:basedOn w:val="1"/>
    <w:qFormat/>
    <w:rsid w:val="00e01924"/>
    <w:rPr>
      <w:rFonts w:ascii="Arial" w:hAnsi="Arial"/>
      <w:b/>
      <w:sz w:val="32"/>
    </w:rPr>
  </w:style>
  <w:style w:type="character" w:styleId="HeadDoc" w:customStyle="1">
    <w:name w:val="HeadDoc"/>
    <w:link w:val="HeadDoc1"/>
    <w:qFormat/>
    <w:rsid w:val="00e01924"/>
    <w:rPr>
      <w:rFonts w:ascii="Times New Roman" w:hAnsi="Times New Roman"/>
      <w:sz w:val="28"/>
    </w:rPr>
  </w:style>
  <w:style w:type="character" w:styleId="Hyperlink">
    <w:name w:val="Hyperlink"/>
    <w:link w:val="16"/>
    <w:rsid w:val="00e01924"/>
    <w:rPr>
      <w:color w:val="0000FF"/>
      <w:u w:val="single"/>
    </w:rPr>
  </w:style>
  <w:style w:type="character" w:styleId="Footnote" w:customStyle="1">
    <w:name w:val="Footnote"/>
    <w:basedOn w:val="1"/>
    <w:link w:val="Footnote1"/>
    <w:qFormat/>
    <w:rsid w:val="00e01924"/>
    <w:rPr>
      <w:rFonts w:ascii="Times New Roman" w:hAnsi="Times New Roman"/>
    </w:rPr>
  </w:style>
  <w:style w:type="character" w:styleId="12" w:customStyle="1">
    <w:name w:val="Оглавление 1 Знак"/>
    <w:qFormat/>
    <w:rsid w:val="00e01924"/>
    <w:rPr>
      <w:rFonts w:ascii="XO Thames" w:hAnsi="XO Thames"/>
      <w:b/>
      <w:sz w:val="28"/>
    </w:rPr>
  </w:style>
  <w:style w:type="character" w:styleId="HeaderandFooter" w:customStyle="1">
    <w:name w:val="Header and Footer"/>
    <w:qFormat/>
    <w:rsid w:val="00e01924"/>
    <w:rPr>
      <w:rFonts w:ascii="XO Thames" w:hAnsi="XO Thames"/>
      <w:sz w:val="28"/>
    </w:rPr>
  </w:style>
  <w:style w:type="character" w:styleId="Style18">
    <w:name w:val="Символ концевой сноски"/>
    <w:basedOn w:val="DefaultParagraphFont"/>
    <w:link w:val="17"/>
    <w:qFormat/>
    <w:rsid w:val="00e0192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ConsPlusNonformat" w:customStyle="1">
    <w:name w:val="ConsPlusNonformat"/>
    <w:link w:val="ConsPlusNonformat1"/>
    <w:qFormat/>
    <w:rsid w:val="00e01924"/>
    <w:rPr>
      <w:rFonts w:ascii="Courier New" w:hAnsi="Courier New"/>
    </w:rPr>
  </w:style>
  <w:style w:type="character" w:styleId="Style19" w:customStyle="1">
    <w:name w:val="Обычный (Интернет) Знак"/>
    <w:basedOn w:val="1"/>
    <w:link w:val="NormalWeb"/>
    <w:qFormat/>
    <w:rsid w:val="00e01924"/>
    <w:rPr>
      <w:rFonts w:ascii="Times New Roman" w:hAnsi="Times New Roman"/>
      <w:sz w:val="24"/>
    </w:rPr>
  </w:style>
  <w:style w:type="character" w:styleId="Style20" w:customStyle="1">
    <w:name w:val="Верхний колонтитул Знак"/>
    <w:basedOn w:val="1"/>
    <w:qFormat/>
    <w:rsid w:val="00e01924"/>
    <w:rPr>
      <w:rFonts w:ascii="Times New Roman" w:hAnsi="Times New Roman"/>
    </w:rPr>
  </w:style>
  <w:style w:type="character" w:styleId="9" w:customStyle="1">
    <w:name w:val="Оглавление 9 Знак"/>
    <w:qFormat/>
    <w:rsid w:val="00e01924"/>
    <w:rPr>
      <w:rFonts w:ascii="XO Thames" w:hAnsi="XO Thames"/>
      <w:sz w:val="28"/>
    </w:rPr>
  </w:style>
  <w:style w:type="character" w:styleId="Style21" w:customStyle="1">
    <w:name w:val="Тема примечания Знак"/>
    <w:basedOn w:val="Style11"/>
    <w:link w:val="annotationsubject"/>
    <w:qFormat/>
    <w:rsid w:val="00e01924"/>
    <w:rPr>
      <w:rFonts w:ascii="Calibri" w:hAnsi="Calibri"/>
      <w:b/>
    </w:rPr>
  </w:style>
  <w:style w:type="character" w:styleId="Style22" w:customStyle="1">
    <w:name w:val="Подпись к договору"/>
    <w:basedOn w:val="1"/>
    <w:link w:val="18"/>
    <w:qFormat/>
    <w:rsid w:val="00e01924"/>
    <w:rPr>
      <w:rFonts w:ascii="Times New Roman" w:hAnsi="Times New Roman"/>
      <w:sz w:val="22"/>
    </w:rPr>
  </w:style>
  <w:style w:type="character" w:styleId="kdkommNO" w:customStyle="1">
    <w:name w:val="kd_komm_NO"/>
    <w:link w:val="kdkommNO1"/>
    <w:qFormat/>
    <w:rsid w:val="00e01924"/>
    <w:rPr>
      <w:sz w:val="28"/>
    </w:rPr>
  </w:style>
  <w:style w:type="character" w:styleId="8" w:customStyle="1">
    <w:name w:val="Оглавление 8 Знак"/>
    <w:qFormat/>
    <w:rsid w:val="00e01924"/>
    <w:rPr>
      <w:rFonts w:ascii="XO Thames" w:hAnsi="XO Thames"/>
      <w:sz w:val="28"/>
    </w:rPr>
  </w:style>
  <w:style w:type="character" w:styleId="Style23" w:customStyle="1">
    <w:name w:val="Нумерованный список Знак"/>
    <w:basedOn w:val="1"/>
    <w:qFormat/>
    <w:rsid w:val="00e01924"/>
    <w:rPr>
      <w:rFonts w:ascii="Times New Roman" w:hAnsi="Times New Roman"/>
      <w:sz w:val="28"/>
    </w:rPr>
  </w:style>
  <w:style w:type="character" w:styleId="51" w:customStyle="1">
    <w:name w:val="Оглавление 5 Знак"/>
    <w:qFormat/>
    <w:rsid w:val="00e01924"/>
    <w:rPr>
      <w:rFonts w:ascii="XO Thames" w:hAnsi="XO Thames"/>
      <w:sz w:val="28"/>
    </w:rPr>
  </w:style>
  <w:style w:type="character" w:styleId="Style24" w:customStyle="1">
    <w:name w:val="Подзаголовок Знак"/>
    <w:qFormat/>
    <w:rsid w:val="00e01924"/>
    <w:rPr>
      <w:rFonts w:ascii="XO Thames" w:hAnsi="XO Thames"/>
      <w:i/>
      <w:sz w:val="24"/>
    </w:rPr>
  </w:style>
  <w:style w:type="character" w:styleId="Style25" w:customStyle="1">
    <w:name w:val="Заголовок Знак"/>
    <w:qFormat/>
    <w:rsid w:val="00e01924"/>
    <w:rPr>
      <w:rFonts w:ascii="XO Thames" w:hAnsi="XO Thames"/>
      <w:b/>
      <w:caps/>
      <w:sz w:val="40"/>
    </w:rPr>
  </w:style>
  <w:style w:type="character" w:styleId="41" w:customStyle="1">
    <w:name w:val="Заголовок 4 Знак"/>
    <w:qFormat/>
    <w:rsid w:val="00e01924"/>
    <w:rPr>
      <w:rFonts w:ascii="XO Thames" w:hAnsi="XO Thames"/>
      <w:b/>
      <w:sz w:val="24"/>
    </w:rPr>
  </w:style>
  <w:style w:type="character" w:styleId="CommentReference">
    <w:name w:val="annotation reference"/>
    <w:link w:val="19"/>
    <w:qFormat/>
    <w:rsid w:val="00e01924"/>
    <w:rPr>
      <w:sz w:val="16"/>
    </w:rPr>
  </w:style>
  <w:style w:type="character" w:styleId="21" w:customStyle="1">
    <w:name w:val="Заголовок 2 Знак"/>
    <w:basedOn w:val="1"/>
    <w:qFormat/>
    <w:rsid w:val="00e01924"/>
    <w:rPr>
      <w:rFonts w:ascii="Cambria" w:hAnsi="Cambria"/>
      <w:b/>
      <w:color w:val="4F81BD"/>
      <w:sz w:val="26"/>
    </w:rPr>
  </w:style>
  <w:style w:type="character" w:styleId="SubtleEmphasis">
    <w:name w:val="Subtle Emphasis"/>
    <w:basedOn w:val="DefaultParagraphFont"/>
    <w:link w:val="110"/>
    <w:qFormat/>
    <w:rsid w:val="00e01924"/>
    <w:rPr>
      <w:i/>
      <w:color w:themeColor="text1" w:themeTint="7f" w:val="808080"/>
    </w:rPr>
  </w:style>
  <w:style w:type="paragraph" w:styleId="Style2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link w:val="Style9"/>
    <w:rsid w:val="00e01924"/>
    <w:pPr>
      <w:jc w:val="center"/>
    </w:pPr>
    <w:rPr>
      <w:sz w:val="28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cs="Noto Sans"/>
    </w:rPr>
  </w:style>
  <w:style w:type="paragraph" w:styleId="TOC2">
    <w:name w:val="toc 2"/>
    <w:next w:val="Normal"/>
    <w:link w:val="2"/>
    <w:uiPriority w:val="39"/>
    <w:rsid w:val="00e01924"/>
    <w:pPr>
      <w:widowControl/>
      <w:bidi w:val="0"/>
      <w:spacing w:before="0" w:after="0"/>
      <w:ind w:left="200"/>
      <w:jc w:val="lef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TOC4">
    <w:name w:val="toc 4"/>
    <w:next w:val="Normal"/>
    <w:link w:val="4"/>
    <w:uiPriority w:val="39"/>
    <w:rsid w:val="00e01924"/>
    <w:pPr>
      <w:widowControl/>
      <w:bidi w:val="0"/>
      <w:spacing w:before="0" w:after="0"/>
      <w:ind w:left="600"/>
      <w:jc w:val="lef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TOC6">
    <w:name w:val="toc 6"/>
    <w:next w:val="Normal"/>
    <w:link w:val="6"/>
    <w:uiPriority w:val="39"/>
    <w:rsid w:val="00e01924"/>
    <w:pPr>
      <w:widowControl/>
      <w:bidi w:val="0"/>
      <w:spacing w:before="0" w:after="0"/>
      <w:ind w:left="1000"/>
      <w:jc w:val="lef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TOC7">
    <w:name w:val="toc 7"/>
    <w:next w:val="Normal"/>
    <w:link w:val="7"/>
    <w:uiPriority w:val="39"/>
    <w:rsid w:val="00e01924"/>
    <w:pPr>
      <w:widowControl/>
      <w:bidi w:val="0"/>
      <w:spacing w:before="0" w:after="0"/>
      <w:ind w:left="1200"/>
      <w:jc w:val="lef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13" w:customStyle="1">
    <w:name w:val="Основной шрифт абзаца1"/>
    <w:qFormat/>
    <w:rsid w:val="00e01924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Endnote1" w:customStyle="1">
    <w:name w:val="Endnote1"/>
    <w:basedOn w:val="Normal"/>
    <w:link w:val="Endnote"/>
    <w:qFormat/>
    <w:rsid w:val="00e01924"/>
    <w:pPr/>
    <w:rPr/>
  </w:style>
  <w:style w:type="paragraph" w:styleId="14" w:customStyle="1">
    <w:name w:val="Знак сноски1"/>
    <w:basedOn w:val="13"/>
    <w:qFormat/>
    <w:rsid w:val="00e01924"/>
    <w:pPr/>
    <w:rPr>
      <w:vertAlign w:val="superscript"/>
    </w:rPr>
  </w:style>
  <w:style w:type="paragraph" w:styleId="CommentText">
    <w:name w:val="annotation text"/>
    <w:basedOn w:val="Normal"/>
    <w:link w:val="Style11"/>
    <w:rsid w:val="00e01924"/>
    <w:pPr/>
    <w:rPr/>
  </w:style>
  <w:style w:type="paragraph" w:styleId="15" w:customStyle="1">
    <w:name w:val="договор1"/>
    <w:basedOn w:val="Normal"/>
    <w:link w:val="Style12"/>
    <w:qFormat/>
    <w:rsid w:val="00e01924"/>
    <w:pPr>
      <w:tabs>
        <w:tab w:val="clear" w:pos="709"/>
        <w:tab w:val="right" w:pos="9923" w:leader="none"/>
      </w:tabs>
      <w:ind w:firstLine="284"/>
      <w:jc w:val="both"/>
    </w:pPr>
    <w:rPr>
      <w:sz w:val="24"/>
    </w:rPr>
  </w:style>
  <w:style w:type="paragraph" w:styleId="BalloonText">
    <w:name w:val="Balloon Text"/>
    <w:basedOn w:val="Normal"/>
    <w:link w:val="Style13"/>
    <w:qFormat/>
    <w:rsid w:val="00e01924"/>
    <w:pPr/>
    <w:rPr>
      <w:rFonts w:ascii="Tahoma" w:hAnsi="Tahoma"/>
      <w:sz w:val="16"/>
    </w:rPr>
  </w:style>
  <w:style w:type="paragraph" w:styleId="BodyTextIndent">
    <w:name w:val="Body Text Indent"/>
    <w:basedOn w:val="Normal"/>
    <w:link w:val="Style14"/>
    <w:rsid w:val="00e01924"/>
    <w:pPr>
      <w:ind w:firstLine="709" w:right="-284"/>
      <w:jc w:val="both"/>
    </w:pPr>
    <w:rPr>
      <w:sz w:val="28"/>
    </w:rPr>
  </w:style>
  <w:style w:type="paragraph" w:styleId="ListParagraph">
    <w:name w:val="List Paragraph"/>
    <w:basedOn w:val="Normal"/>
    <w:link w:val="Style15"/>
    <w:qFormat/>
    <w:rsid w:val="00e01924"/>
    <w:pPr>
      <w:spacing w:before="0" w:after="0"/>
      <w:ind w:left="720"/>
      <w:contextualSpacing/>
    </w:pPr>
    <w:rPr/>
  </w:style>
  <w:style w:type="paragraph" w:styleId="Default1" w:customStyle="1">
    <w:name w:val="Default1"/>
    <w:basedOn w:val="Normal"/>
    <w:link w:val="Default"/>
    <w:qFormat/>
    <w:rsid w:val="00e01924"/>
    <w:pPr/>
    <w:rPr>
      <w:sz w:val="24"/>
    </w:rPr>
  </w:style>
  <w:style w:type="paragraph" w:styleId="Style28" w:customStyle="1">
    <w:name w:val="Колонтитулы"/>
    <w:qFormat/>
    <w:rsid w:val="00e01924"/>
    <w:pPr>
      <w:widowControl/>
      <w:bidi w:val="0"/>
      <w:spacing w:before="0" w:after="0"/>
      <w:jc w:val="both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Footer">
    <w:name w:val="footer"/>
    <w:basedOn w:val="Normal"/>
    <w:link w:val="Style16"/>
    <w:rsid w:val="00e01924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TOC3">
    <w:name w:val="toc 3"/>
    <w:next w:val="Normal"/>
    <w:link w:val="31"/>
    <w:uiPriority w:val="39"/>
    <w:rsid w:val="00e01924"/>
    <w:pPr>
      <w:widowControl/>
      <w:bidi w:val="0"/>
      <w:spacing w:before="0" w:after="0"/>
      <w:ind w:left="400"/>
      <w:jc w:val="lef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NoSpacing">
    <w:name w:val="No Spacing"/>
    <w:link w:val="Style17"/>
    <w:qFormat/>
    <w:rsid w:val="00e01924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ds-markdown-paragraph1" w:customStyle="1">
    <w:name w:val="ds-markdown-paragraph1"/>
    <w:basedOn w:val="Normal"/>
    <w:link w:val="ds-markdown-paragraph"/>
    <w:qFormat/>
    <w:rsid w:val="00e01924"/>
    <w:pPr>
      <w:spacing w:beforeAutospacing="1" w:afterAutospacing="1"/>
    </w:pPr>
    <w:rPr>
      <w:sz w:val="24"/>
    </w:rPr>
  </w:style>
  <w:style w:type="paragraph" w:styleId="HeadDoc1" w:customStyle="1">
    <w:name w:val="HeadDoc1"/>
    <w:link w:val="HeadDoc"/>
    <w:qFormat/>
    <w:rsid w:val="00e01924"/>
    <w:pPr>
      <w:keepLines/>
      <w:widowControl/>
      <w:bidi w:val="0"/>
      <w:spacing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16" w:customStyle="1">
    <w:name w:val="Гиперссылка1"/>
    <w:qFormat/>
    <w:rsid w:val="00e01924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0000FF"/>
      <w:kern w:val="0"/>
      <w:sz w:val="20"/>
      <w:szCs w:val="20"/>
      <w:u w:val="single"/>
      <w:lang w:val="ru-RU" w:eastAsia="ru-RU" w:bidi="ar-SA"/>
    </w:rPr>
  </w:style>
  <w:style w:type="paragraph" w:styleId="Footnote1" w:customStyle="1">
    <w:name w:val="Footnote1"/>
    <w:basedOn w:val="Normal"/>
    <w:link w:val="Footnote"/>
    <w:qFormat/>
    <w:rsid w:val="00e01924"/>
    <w:pPr/>
    <w:rPr/>
  </w:style>
  <w:style w:type="paragraph" w:styleId="TOC1">
    <w:name w:val="toc 1"/>
    <w:next w:val="Normal"/>
    <w:link w:val="12"/>
    <w:uiPriority w:val="39"/>
    <w:rsid w:val="00e01924"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8"/>
      <w:szCs w:val="20"/>
      <w:lang w:val="ru-RU" w:eastAsia="ru-RU" w:bidi="ar-SA"/>
    </w:rPr>
  </w:style>
  <w:style w:type="paragraph" w:styleId="17" w:customStyle="1">
    <w:name w:val="Знак концевой сноски1"/>
    <w:basedOn w:val="13"/>
    <w:qFormat/>
    <w:rsid w:val="00e01924"/>
    <w:pPr/>
    <w:rPr>
      <w:vertAlign w:val="superscript"/>
    </w:rPr>
  </w:style>
  <w:style w:type="paragraph" w:styleId="ConsPlusNonformat1" w:customStyle="1">
    <w:name w:val="ConsPlusNonformat1"/>
    <w:link w:val="ConsPlusNonformat"/>
    <w:qFormat/>
    <w:rsid w:val="00e01924"/>
    <w:pPr>
      <w:widowControl/>
      <w:bidi w:val="0"/>
      <w:spacing w:before="0" w:after="0"/>
      <w:jc w:val="left"/>
    </w:pPr>
    <w:rPr>
      <w:rFonts w:ascii="Courier New" w:hAnsi="Courier New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link w:val="Style19"/>
    <w:qFormat/>
    <w:rsid w:val="00e01924"/>
    <w:pPr>
      <w:spacing w:beforeAutospacing="1" w:afterAutospacing="1"/>
    </w:pPr>
    <w:rPr>
      <w:sz w:val="24"/>
    </w:rPr>
  </w:style>
  <w:style w:type="paragraph" w:styleId="Header">
    <w:name w:val="header"/>
    <w:basedOn w:val="Normal"/>
    <w:link w:val="Style20"/>
    <w:rsid w:val="00e01924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TOC9">
    <w:name w:val="toc 9"/>
    <w:next w:val="Normal"/>
    <w:link w:val="9"/>
    <w:uiPriority w:val="39"/>
    <w:rsid w:val="00e01924"/>
    <w:pPr>
      <w:widowControl/>
      <w:bidi w:val="0"/>
      <w:spacing w:before="0" w:after="0"/>
      <w:ind w:left="1600"/>
      <w:jc w:val="lef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annotationsubject">
    <w:name w:val="annotation subject"/>
    <w:basedOn w:val="CommentText"/>
    <w:next w:val="CommentText"/>
    <w:link w:val="Style21"/>
    <w:qFormat/>
    <w:rsid w:val="00e01924"/>
    <w:pPr>
      <w:spacing w:lineRule="auto" w:line="276" w:before="0" w:after="200"/>
    </w:pPr>
    <w:rPr>
      <w:rFonts w:ascii="Calibri" w:hAnsi="Calibri"/>
      <w:b/>
    </w:rPr>
  </w:style>
  <w:style w:type="paragraph" w:styleId="18" w:customStyle="1">
    <w:name w:val="Подпись к договору1"/>
    <w:basedOn w:val="Normal"/>
    <w:next w:val="Normal"/>
    <w:link w:val="Style22"/>
    <w:qFormat/>
    <w:rsid w:val="00e01924"/>
    <w:pPr>
      <w:widowControl w:val="false"/>
      <w:ind w:left="4252"/>
    </w:pPr>
    <w:rPr>
      <w:sz w:val="22"/>
    </w:rPr>
  </w:style>
  <w:style w:type="paragraph" w:styleId="kdkommNO1" w:customStyle="1">
    <w:name w:val="kd_komm_NO1"/>
    <w:link w:val="kdkommNO"/>
    <w:qFormat/>
    <w:rsid w:val="00e01924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TOC8">
    <w:name w:val="toc 8"/>
    <w:next w:val="Normal"/>
    <w:link w:val="8"/>
    <w:uiPriority w:val="39"/>
    <w:rsid w:val="00e01924"/>
    <w:pPr>
      <w:widowControl/>
      <w:bidi w:val="0"/>
      <w:spacing w:before="0" w:after="0"/>
      <w:ind w:left="1400"/>
      <w:jc w:val="lef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ListNumber">
    <w:name w:val="List Number"/>
    <w:basedOn w:val="Normal"/>
    <w:link w:val="Style23"/>
    <w:rsid w:val="00e01924"/>
    <w:pPr>
      <w:spacing w:lineRule="auto" w:line="360" w:before="60" w:after="0"/>
      <w:jc w:val="both"/>
    </w:pPr>
    <w:rPr>
      <w:sz w:val="28"/>
    </w:rPr>
  </w:style>
  <w:style w:type="paragraph" w:styleId="TOC5">
    <w:name w:val="toc 5"/>
    <w:next w:val="Normal"/>
    <w:link w:val="51"/>
    <w:uiPriority w:val="39"/>
    <w:rsid w:val="00e01924"/>
    <w:pPr>
      <w:widowControl/>
      <w:bidi w:val="0"/>
      <w:spacing w:before="0" w:after="0"/>
      <w:ind w:left="800"/>
      <w:jc w:val="lef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Subtitle">
    <w:name w:val="Subtitle"/>
    <w:next w:val="Normal"/>
    <w:link w:val="Style24"/>
    <w:uiPriority w:val="11"/>
    <w:qFormat/>
    <w:rsid w:val="00e01924"/>
    <w:pPr>
      <w:widowControl/>
      <w:bidi w:val="0"/>
      <w:spacing w:before="0" w:after="0"/>
      <w:jc w:val="both"/>
    </w:pPr>
    <w:rPr>
      <w:rFonts w:ascii="XO Thames" w:hAnsi="XO Thames" w:eastAsia="Times New Roman" w:cs="Times New Roman"/>
      <w:i/>
      <w:color w:val="000000"/>
      <w:kern w:val="0"/>
      <w:sz w:val="24"/>
      <w:szCs w:val="20"/>
      <w:lang w:val="ru-RU" w:eastAsia="ru-RU" w:bidi="ar-SA"/>
    </w:rPr>
  </w:style>
  <w:style w:type="paragraph" w:styleId="Title">
    <w:name w:val="Title"/>
    <w:next w:val="Normal"/>
    <w:link w:val="Style25"/>
    <w:uiPriority w:val="10"/>
    <w:qFormat/>
    <w:rsid w:val="00e01924"/>
    <w:pPr>
      <w:widowControl/>
      <w:bidi w:val="0"/>
      <w:spacing w:before="567" w:after="567"/>
      <w:jc w:val="center"/>
    </w:pPr>
    <w:rPr>
      <w:rFonts w:ascii="XO Thames" w:hAnsi="XO Thames" w:eastAsia="Times New Roman" w:cs="Times New Roman"/>
      <w:b/>
      <w:caps/>
      <w:color w:val="000000"/>
      <w:kern w:val="0"/>
      <w:sz w:val="40"/>
      <w:szCs w:val="20"/>
      <w:lang w:val="ru-RU" w:eastAsia="ru-RU" w:bidi="ar-SA"/>
    </w:rPr>
  </w:style>
  <w:style w:type="paragraph" w:styleId="19" w:customStyle="1">
    <w:name w:val="Знак примечания1"/>
    <w:link w:val="CommentReference"/>
    <w:qFormat/>
    <w:rsid w:val="00e01924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16"/>
      <w:szCs w:val="20"/>
      <w:lang w:val="ru-RU" w:eastAsia="ru-RU" w:bidi="ar-SA"/>
    </w:rPr>
  </w:style>
  <w:style w:type="paragraph" w:styleId="110" w:customStyle="1">
    <w:name w:val="Слабое выделение1"/>
    <w:basedOn w:val="13"/>
    <w:link w:val="SubtleEmphasis"/>
    <w:qFormat/>
    <w:rsid w:val="00e01924"/>
    <w:pPr/>
    <w:rPr>
      <w:i/>
      <w:color w:themeColor="text1" w:themeTint="7f" w:val="808080"/>
    </w:rPr>
  </w:style>
  <w:style w:type="numbering" w:styleId="Style2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a">
    <w:name w:val="Сетка таблицы1"/>
    <w:basedOn w:val="a1"/>
    <w:rsid w:val="00e01924"/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f8">
    <w:name w:val="Table Grid"/>
    <w:basedOn w:val="a1"/>
    <w:rsid w:val="00e01924"/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LibreOffice/25.8.0.4$Linux_X86_64 LibreOffice_project/48f00303701489684e67c38c28aff00cd5929e67</Application>
  <AppVersion>15.0000</AppVersion>
  <Pages>13</Pages>
  <Words>3323</Words>
  <Characters>23159</Characters>
  <CharactersWithSpaces>26312</CharactersWithSpaces>
  <Paragraphs>239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2026-04-27T05:36:00Z</dcterms:created>
  <dc:creator>Горячева Людмила Леонидовна</dc:creator>
  <dc:description/>
  <dc:language>ru-RU</dc:language>
  <cp:lastModifiedBy/>
  <dcterms:modified xsi:type="dcterms:W3CDTF">2026-05-27T14:38:38Z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