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header8.xml" ContentType="application/vnd.openxmlformats-officedocument.wordprocessingml.header+xml"/>
  <Override PartName="/word/header7.xml" ContentType="application/vnd.openxmlformats-officedocument.wordprocessingml.header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9.xml" ContentType="application/vnd.openxmlformats-officedocument.wordprocessingml.header+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240" w:before="0" w:after="160"/>
        <w:jc w:val="right"/>
        <w:rPr>
          <w:sz w:val="24"/>
          <w:szCs w:val="24"/>
        </w:rPr>
      </w:pPr>
      <w:r>
        <w:rPr>
          <w:sz w:val="24"/>
          <w:szCs w:val="24"/>
        </w:rPr>
        <w:t>УТВЕРЖДАЮ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Саяно-Шушенского филиала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АО «ТК РусГидро»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_______________В.А Кяри</w:t>
      </w:r>
    </w:p>
    <w:p>
      <w:pPr>
        <w:pStyle w:val="Normal"/>
        <w:jc w:val="right"/>
        <w:rPr>
          <w:rFonts w:eastAsia="Calibri"/>
          <w:b/>
          <w:color w:val="FF0000"/>
        </w:rPr>
      </w:pPr>
      <w:r>
        <w:rPr>
          <w:sz w:val="24"/>
          <w:szCs w:val="24"/>
        </w:rPr>
        <w:t>«______»___________________</w:t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оказание услуг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center"/>
        <w:rPr>
          <w:rFonts w:ascii="Times New Roman" w:hAnsi="Times New Roman" w:eastAsia="Calibri" w:cs="Times New Roman"/>
          <w:b w:val="false"/>
          <w:bCs w:val="false"/>
          <w:i/>
          <w:i/>
          <w:iCs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color w:val="auto"/>
          <w:kern w:val="0"/>
          <w:sz w:val="24"/>
          <w:szCs w:val="24"/>
          <w:lang w:val="ru-RU" w:eastAsia="ru-RU" w:bidi="ar-SA"/>
        </w:rPr>
        <w:t>«ОКПД2 45.20.11.000. Услуги по техническому обслуживанию и сопутствующему ремонту негарантийных автомобилей марки Ford  для нужд Саяно-Шушенского участка Саяно-Шушенского филиала АО "ТК РусГидро"»</w:t>
      </w:r>
    </w:p>
    <w:p>
      <w:pPr>
        <w:pStyle w:val="Normal"/>
        <w:keepNext w:val="true"/>
        <w:keepLines/>
        <w:jc w:val="center"/>
        <w:rPr>
          <w:rFonts w:ascii="Times New Roman" w:hAnsi="Times New Roman" w:eastAsia="Calibri" w:cs="Times New Roman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  <w:t>Лот №   -ТО ПРОД-202</w:t>
      </w:r>
      <w:r>
        <w:rPr>
          <w:rFonts w:eastAsia="Calibri" w:cs="Times New Roman"/>
          <w:b w:val="false"/>
          <w:bCs w:val="false"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  <w:t>7</w:t>
      </w:r>
      <w:r>
        <w:rPr>
          <w:rFonts w:eastAsia="Calibri" w:cs="Times New Roman"/>
          <w:b w:val="false"/>
          <w:bCs w:val="false"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  <w:t>-ТК-СШФ</w:t>
      </w:r>
    </w:p>
    <w:p>
      <w:pPr>
        <w:pStyle w:val="Normal"/>
        <w:jc w:val="center"/>
        <w:rPr>
          <w:rFonts w:ascii="Times New Roman" w:hAnsi="Times New Roman" w:eastAsia="Calibri" w:cs="Times New Roman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</w:r>
    </w:p>
    <w:p>
      <w:pPr>
        <w:pStyle w:val="Normal"/>
        <w:keepNext w:val="true"/>
        <w:keepLines/>
        <w:jc w:val="center"/>
        <w:rPr>
          <w:rFonts w:ascii="Times New Roman" w:hAnsi="Times New Roman" w:eastAsia="Calibri" w:cs="Times New Roman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r>
            <w:fldChar w:fldCharType="begin"/>
          </w:r>
          <w:r>
            <w:rPr>
              <w:webHidden/>
              <w:rStyle w:val="Style14"/>
              <w:vanish w:val="false"/>
            </w:rPr>
            <w:instrText xml:space="preserve"> TOC \z \o "1-4" \u \h</w:instrText>
          </w:r>
          <w:r>
            <w:rPr>
              <w:webHidden/>
              <w:rStyle w:val="Style14"/>
              <w:vanish w:val="false"/>
            </w:rPr>
            <w:fldChar w:fldCharType="separate"/>
          </w:r>
          <w:hyperlink w:anchor="_Toc125462028">
            <w:r>
              <w:rPr>
                <w:webHidden/>
                <w:rStyle w:val="Style14"/>
                <w:vanish w:val="false"/>
              </w:rPr>
              <w:t>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</w:rPr>
              <w:t>Общие сведения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_Toc125462028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5462029">
            <w:r>
              <w:rPr>
                <w:webHidden/>
                <w:rStyle w:val="Style14"/>
                <w:iCs/>
                <w:vanish w:val="false"/>
              </w:rPr>
              <w:t>1.1.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Обозначения и сокращения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_Toc125462029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5462030">
            <w:r>
              <w:rPr>
                <w:webHidden/>
                <w:rStyle w:val="Style14"/>
                <w:iCs/>
                <w:vanish w:val="false"/>
              </w:rPr>
              <w:t>1.2.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Наименование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5462031">
            <w:r>
              <w:rPr>
                <w:webHidden/>
                <w:rStyle w:val="Style14"/>
                <w:iCs/>
                <w:vanish w:val="false"/>
              </w:rPr>
              <w:t>1.3.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Цель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5462032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_Toc125462032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Таблица 1. Перечень объектов заказчика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5462034">
            <w:r>
              <w:rPr>
                <w:webHidden/>
                <w:rStyle w:val="Style14"/>
                <w:vanish w:val="false"/>
              </w:rPr>
              <w:t>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iCs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5462035">
            <w:r>
              <w:rPr>
                <w:webHidden/>
                <w:rStyle w:val="Style14"/>
                <w:iCs/>
                <w:vanish w:val="false"/>
              </w:rPr>
              <w:t>2.1.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объемам и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5462036">
            <w:r>
              <w:rPr>
                <w:webHidden/>
                <w:rStyle w:val="Style14"/>
                <w:vanish w:val="false"/>
              </w:rPr>
              <w:t>2.1.1.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перечню и объему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5462037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_Toc125462037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Таблица 2. Перечень и объем оказываемых услуг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5462038">
            <w:r>
              <w:rPr>
                <w:webHidden/>
                <w:rStyle w:val="Style14"/>
                <w:vanish w:val="false"/>
              </w:rPr>
              <w:t>2.1.2.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5462039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_Toc125462039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Таблица 3. Требования к срокам оказания услуг</w:t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5462040">
            <w:r>
              <w:rPr>
                <w:webHidden/>
                <w:rStyle w:val="Style14"/>
                <w:iCs/>
                <w:vanish w:val="false"/>
              </w:rPr>
              <w:t>2.2.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качеству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_Toc125462040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6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5462041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_Toc125462041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Таблица 4. Требования к качеству услуг</w:t>
              <w:tab/>
              <w:t>6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5462042">
            <w:r>
              <w:rPr>
                <w:webHidden/>
                <w:rStyle w:val="Style14"/>
                <w:vanish w:val="false"/>
              </w:rPr>
              <w:t>3.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документации по ценообразованию на этапе закупки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_Toc125462042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12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14"/>
              <w:vanish w:val="false"/>
            </w:rPr>
            <w:fldChar w:fldCharType="end"/>
          </w:r>
        </w:p>
      </w:sdtContent>
    </w:sdt>
    <w:p>
      <w:pPr>
        <w:pStyle w:val="Heading2"/>
        <w:numPr>
          <w:ilvl w:val="0"/>
          <w:numId w:val="0"/>
        </w:numPr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  <w:lang w:val="en-US"/>
        </w:rPr>
      </w:pPr>
      <w:r>
        <w:rPr>
          <w:rFonts w:eastAsia="Calibri"/>
          <w:b/>
          <w:i/>
          <w:sz w:val="24"/>
          <w:szCs w:val="24"/>
          <w:lang w:val="en-US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0" w:name="_Toc125462028"/>
      <w:r>
        <w:rPr>
          <w:lang w:val="ru-RU"/>
        </w:rPr>
        <w:t>Общие сведения</w:t>
      </w:r>
      <w:bookmarkEnd w:id="0"/>
    </w:p>
    <w:p>
      <w:pPr>
        <w:pStyle w:val="Heading4"/>
        <w:numPr>
          <w:ilvl w:val="1"/>
          <w:numId w:val="3"/>
        </w:numPr>
        <w:rPr/>
      </w:pPr>
      <w:bookmarkStart w:id="1" w:name="_Toc46743505"/>
      <w:bookmarkStart w:id="2" w:name="_Toc125462029"/>
      <w:r>
        <w:rPr/>
        <w:t>Обозначения и сокращения</w:t>
      </w:r>
      <w:bookmarkEnd w:id="1"/>
      <w:bookmarkEnd w:id="2"/>
    </w:p>
    <w:tbl>
      <w:tblPr>
        <w:tblW w:w="935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341"/>
        <w:gridCol w:w="7016"/>
      </w:tblGrid>
      <w:tr>
        <w:trPr>
          <w:cantSplit w:val="true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обслуживание</w:t>
            </w:r>
          </w:p>
        </w:tc>
      </w:tr>
      <w:tr>
        <w:trPr>
          <w:cantSplit w:val="true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ДВС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Двигатель внутреннего сгорания</w:t>
            </w:r>
          </w:p>
        </w:tc>
      </w:tr>
      <w:tr>
        <w:trPr>
          <w:cantSplit w:val="true"/>
        </w:trPr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ГРМ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Газораспределительный механизм</w:t>
            </w:r>
          </w:p>
        </w:tc>
      </w:tr>
      <w:tr>
        <w:trPr>
          <w:cantSplit w:val="true"/>
        </w:trPr>
        <w:tc>
          <w:tcPr>
            <w:tcW w:w="2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ТС</w:t>
            </w:r>
          </w:p>
        </w:tc>
        <w:tc>
          <w:tcPr>
            <w:tcW w:w="70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Heading4"/>
        <w:numPr>
          <w:ilvl w:val="1"/>
          <w:numId w:val="3"/>
        </w:numPr>
        <w:rPr/>
      </w:pPr>
      <w:bookmarkStart w:id="3" w:name="_Toc125462030"/>
      <w:bookmarkStart w:id="4" w:name="_Toc46743506"/>
      <w:r>
        <w:rPr/>
        <w:t>Наименование закупаемой продукции</w:t>
      </w:r>
      <w:bookmarkEnd w:id="3"/>
      <w:bookmarkEnd w:id="4"/>
    </w:p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jc w:val="left"/>
        <w:rPr/>
      </w:pPr>
      <w:r>
        <w:rPr>
          <w:rFonts w:eastAsia="Calibri"/>
          <w:sz w:val="24"/>
          <w:szCs w:val="24"/>
          <w:lang w:eastAsia="x-none"/>
        </w:rPr>
        <w:t>ОКПД2 45.20.11.000. Услуги по техническому обслуживанию и сопутствующему ремонту негарантийных автомобилей марки Ford  для нужд Саяно-Шушенского участка Саяно-Шушенского филиала АО "ТК РусГидро"</w:t>
        <w:br/>
      </w:r>
    </w:p>
    <w:p>
      <w:pPr>
        <w:pStyle w:val="Heading4"/>
        <w:numPr>
          <w:ilvl w:val="1"/>
          <w:numId w:val="3"/>
        </w:numPr>
        <w:spacing w:before="0" w:after="60"/>
        <w:ind w:left="431" w:hanging="431"/>
        <w:rPr/>
      </w:pPr>
      <w:bookmarkStart w:id="5" w:name="_Toc125462031"/>
      <w:bookmarkStart w:id="6" w:name="_Toc46743507"/>
      <w:r>
        <w:rPr/>
        <w:t xml:space="preserve">Цель </w:t>
      </w:r>
      <w:bookmarkEnd w:id="6"/>
      <w:r>
        <w:rPr>
          <w:lang w:val="ru-RU"/>
        </w:rPr>
        <w:t>оказания услуг</w:t>
      </w:r>
      <w:bookmarkEnd w:id="5"/>
      <w:r>
        <w:rPr/>
        <w:t xml:space="preserve"> 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rStyle w:val="Style8"/>
          <w:bCs/>
          <w:sz w:val="24"/>
          <w:szCs w:val="24"/>
        </w:rPr>
      </w:pPr>
      <w:r>
        <w:rPr>
          <w:rFonts w:eastAsia="Calibri"/>
          <w:sz w:val="24"/>
          <w:szCs w:val="24"/>
          <w:lang w:eastAsia="x-none"/>
        </w:rPr>
        <w:t>Проведение технического обслуживания, диагностических и сопутствующих работ с соблюдением Постановление Правительства Российской Федерации от 29 мая 2025 г. N 780 "Об утверждении Правил оказания услуг (выполнения работ) по техническому обслуживанию и ремонту автомототранспортных средств" (с изменениями и дополнениями), инструкций по эксплуатации транспортных средств, государственных стандартов к техническому состоянию транспортных средств, с целью поддержания надлежащего технического состояния транспортных средств.</w:t>
      </w:r>
    </w:p>
    <w:p>
      <w:pPr>
        <w:pStyle w:val="Heading1"/>
        <w:keepLines/>
        <w:numPr>
          <w:ilvl w:val="0"/>
          <w:numId w:val="0"/>
        </w:numPr>
        <w:spacing w:before="0" w:after="0"/>
        <w:ind w:left="0" w:hanging="0"/>
        <w:rPr>
          <w:sz w:val="24"/>
          <w:szCs w:val="24"/>
          <w:lang w:val="ru-RU"/>
        </w:rPr>
      </w:pPr>
      <w:bookmarkStart w:id="7" w:name="_Toc125462032"/>
      <w:r>
        <w:rPr>
          <w:sz w:val="24"/>
          <w:szCs w:val="24"/>
        </w:rPr>
        <w:t>Таблица 1</w:t>
      </w:r>
      <w:r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Перечень объектов заказчика</w:t>
      </w:r>
      <w:bookmarkEnd w:id="7"/>
    </w:p>
    <w:tbl>
      <w:tblPr>
        <w:tblW w:w="977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17"/>
        <w:gridCol w:w="2850"/>
        <w:gridCol w:w="2268"/>
        <w:gridCol w:w="2565"/>
        <w:gridCol w:w="1276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Расположение объекта </w:t>
              <w:br/>
            </w:r>
            <w:r>
              <w:rPr>
                <w:i/>
                <w:iCs/>
                <w:sz w:val="24"/>
                <w:szCs w:val="24"/>
              </w:rPr>
              <w:t>(место оказания услуг)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основного средства </w:t>
              <w:br/>
              <w:t>(в отношении которого оказываются услуги)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>
        <w:trPr>
          <w:trHeight w:val="2809" w:hRule="atLeast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rPr/>
            </w:pPr>
            <w:r>
              <w:rPr/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bidi w:val="0"/>
              <w:jc w:val="left"/>
              <w:rPr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4"/>
                <w:szCs w:val="24"/>
                <w:u w:val="none"/>
                <w:em w:val="none"/>
                <w:lang w:val="ru-RU" w:eastAsia="ru-RU" w:bidi="ar-SA"/>
              </w:rPr>
              <w:t>Услуги по техническому обслуживанию и сопутствующему ремонту негарантийных автомобилей марки Ford  для нужд Саяно-Шушенского участка Саяно-Шушенского филиала АО "ТК РусГидро"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не более 150 км от места нахождения  Заказчика: Республика Хакасия г.Саяногорск, рп.Черёмушки, д.101.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b w:val="false"/>
                <w:bCs w:val="false"/>
                <w:iCs/>
                <w:sz w:val="24"/>
                <w:szCs w:val="24"/>
                <w:shd w:fill="auto" w:val="clear"/>
                <w:lang w:val="en-US"/>
              </w:rPr>
              <w:t>Ford Transit Bus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</w:tbl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8" w:name="_Toc125462034"/>
      <w:bookmarkStart w:id="9" w:name="_Toc51339693"/>
      <w:bookmarkStart w:id="10" w:name="_Hlk482097611"/>
      <w:bookmarkStart w:id="11" w:name="_Toc50125126"/>
      <w:bookmarkEnd w:id="10"/>
      <w:bookmarkEnd w:id="11"/>
      <w:r>
        <w:rPr>
          <w:iCs/>
          <w:lang w:val="ru-RU"/>
        </w:rPr>
        <w:t>Требования</w:t>
      </w:r>
      <w:r>
        <w:rPr>
          <w:iCs/>
        </w:rPr>
        <w:t xml:space="preserve"> к продукции</w:t>
      </w:r>
      <w:bookmarkEnd w:id="8"/>
      <w:bookmarkEnd w:id="9"/>
    </w:p>
    <w:p>
      <w:pPr>
        <w:pStyle w:val="Heading4"/>
        <w:numPr>
          <w:ilvl w:val="1"/>
          <w:numId w:val="3"/>
        </w:numPr>
        <w:rPr/>
      </w:pPr>
      <w:bookmarkStart w:id="12" w:name="_Toc125462035"/>
      <w:r>
        <w:rPr/>
        <w:t xml:space="preserve">Требования к объемам и срокам </w:t>
      </w:r>
      <w:r>
        <w:rPr>
          <w:lang w:val="ru-RU"/>
        </w:rPr>
        <w:t>оказания услуг</w:t>
      </w:r>
      <w:bookmarkEnd w:id="12"/>
    </w:p>
    <w:p>
      <w:pPr>
        <w:pStyle w:val="Heading3"/>
        <w:numPr>
          <w:ilvl w:val="2"/>
          <w:numId w:val="3"/>
        </w:numPr>
        <w:rPr/>
      </w:pPr>
      <w:bookmarkStart w:id="13" w:name="_Toc125462036"/>
      <w:r>
        <w:rPr>
          <w:lang w:val="ru-RU"/>
        </w:rPr>
        <w:t>Требования к перечню и объему услуг</w:t>
      </w:r>
      <w:bookmarkEnd w:id="13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14" w:name="_Toc125462037"/>
      <w:bookmarkStart w:id="15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5"/>
      <w:r>
        <w:rPr>
          <w:sz w:val="24"/>
          <w:szCs w:val="24"/>
          <w:lang w:val="ru-RU"/>
        </w:rPr>
        <w:t>и объем оказываемых услуг</w:t>
      </w:r>
      <w:bookmarkEnd w:id="14"/>
    </w:p>
    <w:tbl>
      <w:tblPr>
        <w:tblW w:w="9810" w:type="dxa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49"/>
        <w:gridCol w:w="4849"/>
        <w:gridCol w:w="1995"/>
        <w:gridCol w:w="2116"/>
      </w:tblGrid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9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1.</w:t>
            </w:r>
            <w:r>
              <w:rPr>
                <w:rFonts w:eastAsia="Times New Roman" w:cs="Times New Roman"/>
                <w:b w:val="false"/>
                <w:bCs w:val="false"/>
                <w:iCs/>
                <w:color w:val="000000" w:themeColor="text1"/>
                <w:sz w:val="24"/>
                <w:szCs w:val="24"/>
                <w:lang w:val="en-US" w:eastAsia="ru-RU"/>
              </w:rPr>
              <w:t xml:space="preserve"> Ford Transit Bus, 2008 год вып., VIN </w:t>
            </w:r>
            <w:r>
              <w:rPr>
                <w:rFonts w:eastAsia="Times New Roman" w:cs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shd w:fill="auto" w:val="clear"/>
                <w:lang w:val="en-US" w:eastAsia="ru-RU" w:bidi="ar-SA"/>
              </w:rPr>
              <w:t>WF0DXXTTFD8G53091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/>
            </w:pPr>
            <w:r>
              <w:rPr/>
              <w:t>1.1.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z w:val="24"/>
                <w:szCs w:val="24"/>
                <w:shd w:fill="auto" w:val="clear"/>
              </w:rPr>
              <w:t xml:space="preserve">ТО- </w:t>
            </w:r>
            <w:r>
              <w:rPr>
                <w:bCs/>
                <w:sz w:val="24"/>
                <w:szCs w:val="24"/>
                <w:shd w:fill="auto" w:val="clear"/>
              </w:rPr>
              <w:t>645</w:t>
            </w:r>
            <w:r>
              <w:rPr>
                <w:bCs/>
                <w:sz w:val="24"/>
                <w:szCs w:val="24"/>
                <w:shd w:fill="auto" w:val="clear"/>
              </w:rPr>
              <w:t xml:space="preserve"> 000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/>
            </w:pPr>
            <w:r>
              <w:rPr/>
              <w:t>1.2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z w:val="24"/>
                <w:szCs w:val="24"/>
                <w:shd w:fill="auto" w:val="clear"/>
              </w:rPr>
              <w:t>ТО-</w:t>
            </w:r>
            <w:r>
              <w:rPr>
                <w:bCs/>
                <w:sz w:val="24"/>
                <w:szCs w:val="24"/>
                <w:shd w:fill="auto" w:val="clear"/>
              </w:rPr>
              <w:t>660</w:t>
            </w:r>
            <w:r>
              <w:rPr>
                <w:bCs/>
                <w:sz w:val="24"/>
                <w:szCs w:val="24"/>
                <w:shd w:fill="auto" w:val="clear"/>
              </w:rPr>
              <w:t xml:space="preserve"> 000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z w:val="24"/>
                <w:szCs w:val="24"/>
                <w:shd w:fill="auto" w:val="clear"/>
              </w:rPr>
              <w:t>ТО-</w:t>
            </w:r>
            <w:r>
              <w:rPr>
                <w:bCs/>
                <w:sz w:val="24"/>
                <w:szCs w:val="24"/>
                <w:shd w:fill="auto" w:val="clear"/>
              </w:rPr>
              <w:t>675</w:t>
            </w:r>
            <w:r>
              <w:rPr>
                <w:bCs/>
                <w:sz w:val="24"/>
                <w:szCs w:val="24"/>
                <w:shd w:fill="auto" w:val="clear"/>
              </w:rPr>
              <w:t xml:space="preserve"> 000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Развал - схождение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i w:val="false"/>
                <w:i w:val="false"/>
                <w:iCs w:val="false"/>
              </w:rPr>
            </w:pPr>
            <w:r>
              <w:rPr>
                <w:bCs/>
                <w:i w:val="false"/>
                <w:iCs w:val="false"/>
                <w:sz w:val="24"/>
                <w:szCs w:val="24"/>
              </w:rPr>
              <w:t>Текущий ремонт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н/ч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37</w:t>
            </w:r>
          </w:p>
        </w:tc>
      </w:tr>
      <w:tr>
        <w:trPr/>
        <w:tc>
          <w:tcPr>
            <w:tcW w:w="980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iCs/>
                <w:sz w:val="24"/>
                <w:szCs w:val="24"/>
                <w:shd w:fill="auto" w:val="clear"/>
                <w:lang w:val="en-US"/>
              </w:rPr>
              <w:t xml:space="preserve">2. </w:t>
            </w:r>
            <w:r>
              <w:rPr>
                <w:b w:val="false"/>
                <w:bCs w:val="false"/>
                <w:iCs/>
                <w:sz w:val="24"/>
                <w:szCs w:val="24"/>
                <w:shd w:fill="auto" w:val="clear"/>
                <w:lang w:val="en-US"/>
              </w:rPr>
              <w:t>Ford Transit Bus, 2020 год вып., VIN X2FXXXESGXLG48201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ТО-</w:t>
            </w:r>
            <w:r>
              <w:rPr>
                <w:bCs/>
                <w:sz w:val="24"/>
                <w:szCs w:val="24"/>
              </w:rPr>
              <w:t>550</w:t>
            </w:r>
            <w:r>
              <w:rPr>
                <w:bCs/>
                <w:sz w:val="24"/>
                <w:szCs w:val="24"/>
              </w:rPr>
              <w:t xml:space="preserve"> 000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ТО-</w:t>
            </w:r>
            <w:r>
              <w:rPr>
                <w:bCs/>
                <w:sz w:val="24"/>
                <w:szCs w:val="24"/>
              </w:rPr>
              <w:t>56</w:t>
            </w:r>
            <w:r>
              <w:rPr>
                <w:bCs/>
                <w:sz w:val="24"/>
                <w:szCs w:val="24"/>
              </w:rPr>
              <w:t>5 000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ТО-</w:t>
            </w:r>
            <w:r>
              <w:rPr>
                <w:bCs/>
                <w:sz w:val="24"/>
                <w:szCs w:val="24"/>
              </w:rPr>
              <w:t>580</w:t>
            </w:r>
            <w:r>
              <w:rPr>
                <w:bCs/>
                <w:sz w:val="24"/>
                <w:szCs w:val="24"/>
              </w:rPr>
              <w:t xml:space="preserve"> 000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ТО-5</w:t>
            </w:r>
            <w:r>
              <w:rPr>
                <w:bCs/>
                <w:sz w:val="24"/>
                <w:szCs w:val="24"/>
              </w:rPr>
              <w:t>95</w:t>
            </w:r>
            <w:r>
              <w:rPr>
                <w:bCs/>
                <w:sz w:val="24"/>
                <w:szCs w:val="24"/>
              </w:rPr>
              <w:t xml:space="preserve"> 000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ТО-</w:t>
            </w:r>
            <w:r>
              <w:rPr>
                <w:bCs/>
                <w:sz w:val="24"/>
                <w:szCs w:val="24"/>
              </w:rPr>
              <w:t>610</w:t>
            </w:r>
            <w:r>
              <w:rPr>
                <w:bCs/>
                <w:sz w:val="24"/>
                <w:szCs w:val="24"/>
              </w:rPr>
              <w:t xml:space="preserve"> 000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ТО-</w:t>
            </w:r>
            <w:r>
              <w:rPr>
                <w:bCs/>
                <w:sz w:val="24"/>
                <w:szCs w:val="24"/>
              </w:rPr>
              <w:t>625</w:t>
            </w:r>
            <w:r>
              <w:rPr>
                <w:bCs/>
                <w:sz w:val="24"/>
                <w:szCs w:val="24"/>
              </w:rPr>
              <w:t xml:space="preserve"> 000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Развал - схождение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2</w:t>
            </w:r>
          </w:p>
        </w:tc>
      </w:tr>
      <w:tr>
        <w:trPr/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</w:t>
            </w:r>
          </w:p>
        </w:tc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i w:val="false"/>
                <w:i w:val="false"/>
                <w:iCs w:val="false"/>
              </w:rPr>
            </w:pPr>
            <w:r>
              <w:rPr>
                <w:bCs/>
                <w:i w:val="false"/>
                <w:iCs w:val="false"/>
                <w:sz w:val="24"/>
                <w:szCs w:val="24"/>
              </w:rPr>
              <w:t>Текущий ремонт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н/ч</w:t>
            </w:r>
          </w:p>
        </w:tc>
        <w:tc>
          <w:tcPr>
            <w:tcW w:w="2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37</w:t>
            </w:r>
          </w:p>
        </w:tc>
      </w:tr>
    </w:tbl>
    <w:p>
      <w:pPr>
        <w:pStyle w:val="Heading3"/>
        <w:numPr>
          <w:ilvl w:val="2"/>
          <w:numId w:val="3"/>
        </w:numPr>
        <w:rPr>
          <w:lang w:val="ru-RU"/>
        </w:rPr>
      </w:pPr>
      <w:bookmarkStart w:id="16" w:name="_Toc125462038"/>
      <w:bookmarkStart w:id="17" w:name="_Toc51339696"/>
      <w:r>
        <w:rPr>
          <w:lang w:val="ru-RU"/>
        </w:rPr>
        <w:t xml:space="preserve">Требования </w:t>
      </w:r>
      <w:bookmarkEnd w:id="17"/>
      <w:r>
        <w:rPr>
          <w:lang w:val="ru-RU"/>
        </w:rPr>
        <w:t>к срокам оказания услуг</w:t>
      </w:r>
      <w:bookmarkEnd w:id="16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18" w:name="_Toc125462039"/>
      <w:bookmarkStart w:id="19" w:name="_Toc50125127"/>
      <w:bookmarkStart w:id="20" w:name="_Toc51339697"/>
      <w:bookmarkStart w:id="21" w:name="_Toc501251261"/>
      <w:bookmarkEnd w:id="21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</w:t>
      </w:r>
      <w:bookmarkStart w:id="22" w:name="_Hlk50465284"/>
      <w:r>
        <w:rPr>
          <w:sz w:val="24"/>
          <w:szCs w:val="24"/>
        </w:rPr>
        <w:t xml:space="preserve">Требования </w:t>
      </w:r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</w:t>
      </w:r>
      <w:bookmarkEnd w:id="19"/>
      <w:bookmarkEnd w:id="20"/>
      <w:bookmarkEnd w:id="22"/>
      <w:r>
        <w:rPr>
          <w:sz w:val="24"/>
          <w:szCs w:val="24"/>
          <w:lang w:val="ru-RU"/>
        </w:rPr>
        <w:t>оказания услуг</w:t>
      </w:r>
      <w:bookmarkEnd w:id="18"/>
    </w:p>
    <w:tbl>
      <w:tblPr>
        <w:tblW w:w="977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129"/>
        <w:gridCol w:w="2551"/>
        <w:gridCol w:w="2978"/>
        <w:gridCol w:w="3117"/>
      </w:tblGrid>
      <w:tr>
        <w:trPr/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услуг/ этапа услуг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услуг/ этапа услуг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 / этапа услуг</w:t>
            </w:r>
          </w:p>
        </w:tc>
      </w:tr>
      <w:tr>
        <w:trPr/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suppressAutoHyphens w:val="true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bidi w:val="0"/>
              <w:jc w:val="left"/>
              <w:rPr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4"/>
                <w:szCs w:val="24"/>
                <w:u w:val="none"/>
                <w:em w:val="none"/>
                <w:lang w:val="ru-RU" w:eastAsia="ru-RU" w:bidi="ar-SA"/>
              </w:rPr>
              <w:t>ОКПД2 45.20.11.000. Услуги по техническому обслуживанию и сопутствующему ремонту негарантийных автомобилей марки Ford  для нужд Саяно-Шушенского участка Саяно-Шушенского филиала АО "ТК РусГидро"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740" w:leader="none"/>
              </w:tabs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С момента заключения договора.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bookmarkStart w:id="23" w:name="_Toc46743510"/>
            <w:r>
              <w:rPr>
                <w:bCs/>
                <w:sz w:val="24"/>
                <w:szCs w:val="24"/>
              </w:rPr>
              <w:t>по 31.12.202</w:t>
            </w:r>
            <w:r>
              <w:rPr>
                <w:bCs/>
                <w:sz w:val="24"/>
                <w:szCs w:val="24"/>
              </w:rPr>
              <w:t>7</w:t>
            </w:r>
            <w:r>
              <w:rPr>
                <w:bCs/>
                <w:sz w:val="24"/>
                <w:szCs w:val="24"/>
              </w:rPr>
              <w:t xml:space="preserve"> г.</w:t>
            </w:r>
            <w:bookmarkEnd w:id="23"/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rPr>
          <w:rFonts w:eastAsia="Calibri"/>
          <w:b/>
          <w:sz w:val="24"/>
          <w:szCs w:val="24"/>
          <w:lang w:eastAsia="x-none"/>
        </w:rPr>
      </w:pPr>
      <w:bookmarkStart w:id="24" w:name="_Toc51339698"/>
      <w:bookmarkStart w:id="25" w:name="_Toc125462040"/>
      <w:bookmarkStart w:id="26" w:name="_Toc46743511"/>
      <w:r>
        <w:rPr/>
        <w:t xml:space="preserve">Требования к </w:t>
      </w:r>
      <w:bookmarkEnd w:id="26"/>
      <w:r>
        <w:rPr>
          <w:lang w:val="ru-RU"/>
        </w:rPr>
        <w:t>качеству услуг</w:t>
      </w:r>
      <w:bookmarkEnd w:id="25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</w:rPr>
      </w:pPr>
      <w:bookmarkStart w:id="27" w:name="_Toc125462041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. Требования к </w:t>
      </w:r>
      <w:bookmarkEnd w:id="24"/>
      <w:r>
        <w:rPr>
          <w:sz w:val="24"/>
          <w:szCs w:val="24"/>
          <w:lang w:val="ru-RU"/>
        </w:rPr>
        <w:t>качеству услуг</w:t>
      </w:r>
      <w:bookmarkEnd w:id="27"/>
      <w:r>
        <w:rPr>
          <w:sz w:val="24"/>
          <w:szCs w:val="24"/>
        </w:rPr>
        <w:t xml:space="preserve"> </w:t>
      </w:r>
    </w:p>
    <w:p>
      <w:pPr>
        <w:pStyle w:val="Normal"/>
        <w:rPr>
          <w:bCs/>
          <w:i/>
          <w:i/>
          <w:sz w:val="24"/>
          <w:szCs w:val="24"/>
        </w:rPr>
      </w:pPr>
      <w:r>
        <w:rPr>
          <w:b/>
          <w:bCs/>
          <w:sz w:val="24"/>
          <w:szCs w:val="24"/>
        </w:rPr>
        <w:t xml:space="preserve">Наименование услуг/этапа услуг (позиция № 1-2 Таблицы 2): </w:t>
      </w:r>
      <w:r>
        <w:rPr>
          <w:rFonts w:eastAsia="Calibri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  <w:t>ОКПД2 45.20.11.000. Услуги по техническому обслуживанию и сопутствующему ремонту негарантийных автомобилей марки Ford  для нужд Саяно-Шушенского участка Саяно-Шушенского филиала АО "ТК РусГидро"</w:t>
      </w:r>
      <w:r>
        <w:rPr>
          <w:rStyle w:val="Style8"/>
          <w:b w:val="false"/>
          <w:iCs/>
          <w:sz w:val="24"/>
          <w:szCs w:val="24"/>
        </w:rPr>
        <w:t xml:space="preserve"> </w:t>
      </w:r>
    </w:p>
    <w:tbl>
      <w:tblPr>
        <w:tblStyle w:val="af"/>
        <w:tblW w:w="1488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51"/>
        <w:gridCol w:w="2267"/>
        <w:gridCol w:w="3403"/>
        <w:gridCol w:w="2691"/>
        <w:gridCol w:w="2928"/>
        <w:gridCol w:w="2744"/>
      </w:tblGrid>
      <w:tr>
        <w:trPr/>
        <w:tc>
          <w:tcPr>
            <w:tcW w:w="85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267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561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74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85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267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69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92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74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bookmarkStart w:id="28" w:name="_Toc53499667"/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</w:t>
            </w:r>
            <w:bookmarkEnd w:id="28"/>
          </w:p>
        </w:tc>
        <w:tc>
          <w:tcPr>
            <w:tcW w:w="2267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40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69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92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274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оказанию услуг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8"/>
              </w:numPr>
              <w:spacing w:before="60" w:after="60"/>
              <w:ind w:left="-117" w:firstLine="142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Общие требования к оказанию услуг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7" w:hanging="37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Услуги по проведению работ по техническому обслуживанию не может превышать более 1 (одних) суток и срок проведения работ по ремонту не может превышать более 30 суток с момента сдачи транспортного средства (далее – ТС) исполнителю. При невозможности проведения работ по ТО менее 1 (одних) суток и ремонта менее 30 суток с момента сдачи транспортного средства, исполнитель дополнительно согласовывает с заказчиком сроки проведения работ и предоставляет бесплатное хранение ТС на охраняемой территории на время ожидания работ и их проведения.</w:t>
            </w:r>
          </w:p>
        </w:tc>
        <w:tc>
          <w:tcPr>
            <w:tcW w:w="269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center"/>
              <w:outlineLvl w:val="2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Транспортные средства прошедшие техническое обслуживание и ремонт должны отвечать требованиям, регламентирующим техническое состояние и оборудование транспортных средств, участвующих в дорожном движении, в части, относящейся к обеспечению безопасности дорожного движения (Постановление правительства РФ от 23.10.1993 №1090 «О правилах дорожного движения» (в действующей редакции)).</w:t>
            </w:r>
          </w:p>
        </w:tc>
        <w:tc>
          <w:tcPr>
            <w:tcW w:w="2691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4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8"/>
              </w:numPr>
              <w:spacing w:before="60" w:after="60"/>
              <w:ind w:left="-117" w:firstLine="142"/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60" w:after="0"/>
              <w:jc w:val="left"/>
              <w:rPr>
                <w:b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процедурам оказания услуг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 случае сдачи автотранспорта более чем на одни сутки сервисная организация оформляет приемо-сдаточный акт по форме, предусмотренной организацией Заказчика, который подписывают представители обеих сторон. В исключительных случаях осмотр автотранспорта может осуществляться на территории Заказчика.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8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применяемым при оказании услуг оборудованию и материалам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</w:tcPr>
          <w:p>
            <w:pPr>
              <w:pStyle w:val="ListParagraph"/>
              <w:widowControl w:val="false"/>
              <w:tabs>
                <w:tab w:val="clear" w:pos="708"/>
                <w:tab w:val="left" w:pos="7740" w:leader="none"/>
              </w:tabs>
              <w:suppressAutoHyphens w:val="true"/>
              <w:spacing w:before="0" w:after="0"/>
              <w:ind w:left="0" w:hanging="0"/>
              <w:contextualSpacing/>
              <w:jc w:val="both"/>
              <w:rPr>
                <w:bCs/>
              </w:rPr>
            </w:pPr>
            <w:r>
              <w:rPr>
                <w:rFonts w:cs="Times New Roman"/>
                <w:bCs/>
                <w:kern w:val="0"/>
                <w:lang w:val="ru-RU" w:eastAsia="ru-RU" w:bidi="ar-SA"/>
              </w:rPr>
              <w:t>При проведении работ по ТО и/или текущему ремонту преимущественно применение оригинальных запасных частей и расходных материалов, рекомендованных заводом-изготовителем. Услуги оказываются в полном объеме согласно регламенту и требованиям завода-изготовителя автомобилей.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</w:tcPr>
          <w:p>
            <w:pPr>
              <w:pStyle w:val="ListParagraph"/>
              <w:widowControl w:val="false"/>
              <w:tabs>
                <w:tab w:val="clear" w:pos="708"/>
                <w:tab w:val="left" w:pos="7740" w:leader="none"/>
              </w:tabs>
              <w:suppressAutoHyphens w:val="true"/>
              <w:spacing w:before="0" w:after="0"/>
              <w:ind w:left="28" w:hanging="0"/>
              <w:contextualSpacing/>
              <w:jc w:val="both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cs="Times New Roman"/>
                <w:bCs/>
                <w:kern w:val="0"/>
                <w:lang w:val="ru-RU" w:eastAsia="ru-RU" w:bidi="ar-SA"/>
              </w:rPr>
              <w:t>Запасные части, детали и расходные материалы, установленные на ТС в ходе оказания услуг и на которые в установленном порядке Заказчиком оформлена рекламация (претензия к качеству, функционированию), подлежат обязательной замене за счет средств Исполнителя в течение 5 (пяти) рабочих дней.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1.3.3.</w:t>
            </w:r>
          </w:p>
        </w:tc>
        <w:tc>
          <w:tcPr>
            <w:tcW w:w="5670" w:type="dxa"/>
            <w:gridSpan w:val="2"/>
            <w:tcBorders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37" w:hanging="0"/>
              <w:contextualSpacing/>
              <w:jc w:val="left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В случае если в ходе проведения технических воздействий выявлена, необходимость замены как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ой-либо детали, узла или агрегата стоимость, которой или стоимость работы по замене которой превышает 5000 (Пять тысяч) рублей без НДС, Исполнитель обязан провести дополнит</w:t>
            </w:r>
            <w:r>
              <w:rPr>
                <w:rFonts w:cs="Times New Roman"/>
                <w:kern w:val="0"/>
                <w:lang w:val="ru-RU" w:eastAsia="ru-RU" w:bidi="ar-SA"/>
              </w:rPr>
              <w:t>ельное согласование с Заказчиком о необходимости и порядке выполнения данной работы.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899" w:hRule="atLeast"/>
        </w:trPr>
        <w:tc>
          <w:tcPr>
            <w:tcW w:w="85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1.3.4.</w:t>
            </w:r>
          </w:p>
        </w:tc>
        <w:tc>
          <w:tcPr>
            <w:tcW w:w="5670" w:type="dxa"/>
            <w:gridSpan w:val="2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426" w:leader="none"/>
              </w:tabs>
              <w:suppressAutoHyphens w:val="true"/>
              <w:spacing w:before="120" w:after="240"/>
              <w:ind w:left="37" w:hanging="0"/>
              <w:jc w:val="both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По требованию Заказчика Исполнитель обязан предоставить сертификат качества на замененные в процессе ремонта запасные части.</w:t>
            </w:r>
          </w:p>
        </w:tc>
        <w:tc>
          <w:tcPr>
            <w:tcW w:w="269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bidi w:val="0"/>
              <w:spacing w:before="0" w:after="0"/>
              <w:ind w:left="57" w:right="0" w:firstLine="113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120" w:after="240"/>
              <w:ind w:left="37" w:hanging="142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Сертификат качества по требованию заказчика</w:t>
            </w:r>
          </w:p>
        </w:tc>
        <w:tc>
          <w:tcPr>
            <w:tcW w:w="274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1.3.5.</w:t>
            </w:r>
          </w:p>
        </w:tc>
        <w:tc>
          <w:tcPr>
            <w:tcW w:w="5670" w:type="dxa"/>
            <w:gridSpan w:val="2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37" w:hanging="0"/>
              <w:contextualSpacing/>
              <w:jc w:val="left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cs="Times New Roman"/>
                <w:bCs/>
                <w:kern w:val="0"/>
                <w:lang w:val="ru-RU" w:eastAsia="ru-RU" w:bidi="ar-SA"/>
              </w:rPr>
              <w:t xml:space="preserve">Все расходные материалы, замененные в процессе проведения технического обслуживания и ремонта автомобилей марки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4"/>
                <w:szCs w:val="24"/>
                <w:u w:val="none"/>
                <w:em w:val="none"/>
                <w:lang w:val="ru-RU" w:eastAsia="ru-RU" w:bidi="ar-SA"/>
              </w:rPr>
              <w:t xml:space="preserve">Ford </w:t>
            </w:r>
            <w:r>
              <w:rPr>
                <w:rFonts w:cs="Times New Roman"/>
                <w:bCs/>
                <w:kern w:val="0"/>
                <w:lang w:val="ru-RU" w:eastAsia="ru-RU" w:bidi="ar-SA"/>
              </w:rPr>
              <w:t>Заказчика, переходят в собственность Исполнителя, и утилизируются его силами.</w:t>
            </w:r>
          </w:p>
        </w:tc>
        <w:tc>
          <w:tcPr>
            <w:tcW w:w="269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результатам у</w:t>
            </w: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слуг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8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Общие требования к результатам услуг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Транспортные средства прошедшие ТО и ремонт должны отвечать требованиям, регламентирующим </w:t>
            </w:r>
            <w:bookmarkStart w:id="29" w:name="_GoBack"/>
            <w:bookmarkEnd w:id="29"/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техническое состояние и оборудование транспортных средств, участвующих в дорожном движении, в части, относящейся к обеспечению безопасности дорожного движения (Постановление правительства РФ от 23.10.1993 №1090 «О правилах дорожного движения» (в действующей редакции)).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Допуск представителей для контроля процесса.</w:t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обязан по требованию Заказчика допускать его представителей для контроля процесса выполнения технологических и ремонтных операций, качества и полноты оказания услуг и в целом выполнения договорных обязательств непосредственно к местам производства работ.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8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приемке результата оказания у</w:t>
            </w: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слуг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8"/>
              </w:numPr>
              <w:spacing w:before="60" w:after="60"/>
              <w:ind w:left="1224" w:hanging="1199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Передача автотранспорта после выполнения оказанных услуг</w:t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После выполнения оказанных услуг Исполнитель информирует Заказчика о готовности автотранспорта и передает его по приемо-сдаточному акту. Исполнитель предоставляет Заказчику бесплатное хранение транспортных средств на охраняемой территории на время ожидания работ и их проведения в течение 30 суток.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4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ТТ)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>
          <w:trHeight w:val="337" w:hRule="atLeast"/>
        </w:trPr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60" w:after="60"/>
              <w:ind w:left="25" w:hanging="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  <w:t>3.1.</w:t>
            </w:r>
          </w:p>
        </w:tc>
        <w:tc>
          <w:tcPr>
            <w:tcW w:w="2267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  <w:t>Трудоемкость</w:t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Трудоемкость услуг соответствует нормативной документации завода-изготовителя.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x-none" w:bidi="ar-SA"/>
              </w:rPr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20" w:after="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ответственности и гарантиям исполнителя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60" w:after="60"/>
              <w:ind w:left="0" w:right="0" w:hanging="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  <w:t>4.1.</w:t>
            </w:r>
          </w:p>
        </w:tc>
        <w:tc>
          <w:tcPr>
            <w:tcW w:w="5670" w:type="dxa"/>
            <w:gridSpan w:val="2"/>
            <w:tcBorders/>
            <w:vAlign w:val="center"/>
          </w:tcPr>
          <w:p>
            <w:pPr>
              <w:pStyle w:val="ListParagraph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0" w:hanging="0"/>
              <w:contextualSpacing w:val="false"/>
              <w:jc w:val="left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Исполнитель обязан предоставить гарантии на установленные узлы, агрегаты и запасные части согласно срокам, установленных заводом-изготовителем, а на оказанные услуги по текущему ремонту не менее 12 месяцев при условии эксплуатации транспортного средства согласно руководству по эксплуатации, по ТО транспортных средств должна составлять не менее 6 месяцев или 10000 км. пробега, что наступит ранее..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4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2744" w:type="dxa"/>
            <w:tcBorders/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</w:r>
          </w:p>
        </w:tc>
        <w:tc>
          <w:tcPr>
            <w:tcW w:w="5670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исполнителю (и соисполнителям) и его обязательствам, влияющим на исполнение договора</w:t>
            </w:r>
          </w:p>
        </w:tc>
        <w:tc>
          <w:tcPr>
            <w:tcW w:w="2691" w:type="dxa"/>
            <w:tcBorders>
              <w:top w:val="nil"/>
            </w:tcBorders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928" w:type="dxa"/>
            <w:tcBorders>
              <w:top w:val="nil"/>
            </w:tcBorders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744" w:type="dxa"/>
            <w:tcBorders>
              <w:top w:val="nil"/>
            </w:tcBorders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60" w:after="60"/>
              <w:ind w:left="0" w:hanging="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/>
                <w:b/>
                <w:sz w:val="24"/>
                <w:szCs w:val="24"/>
                <w:lang w:eastAsia="x-none"/>
              </w:rPr>
              <w:t>5.1</w:t>
            </w:r>
          </w:p>
        </w:tc>
        <w:tc>
          <w:tcPr>
            <w:tcW w:w="567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24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4"/>
                <w:szCs w:val="24"/>
                <w:lang w:val="ru-RU" w:eastAsia="x-none" w:bidi="ar-SA"/>
              </w:rPr>
              <w:t>Участник должен иметь не менее одной собственной (либо в аренде) производственной базы для проведения ТО и ремонта транспортных средств.</w:t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4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Договор аренды или свидетельство о праве собственности</w:t>
            </w:r>
          </w:p>
        </w:tc>
        <w:tc>
          <w:tcPr>
            <w:tcW w:w="2744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x-none" w:bidi="ar-SA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rPr>
          <w:i/>
          <w:i/>
          <w:iCs/>
          <w:shd w:fill="FFFF99" w:val="clear"/>
        </w:rPr>
      </w:pPr>
      <w:r>
        <w:rPr>
          <w:i/>
          <w:iCs/>
          <w:shd w:fill="FFFF99" w:val="clear"/>
        </w:rPr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30" w:name="_Toc125462042"/>
      <w:bookmarkStart w:id="31" w:name="_Toc53393312"/>
      <w:bookmarkStart w:id="32" w:name="_Toc53395937"/>
      <w:r>
        <w:rPr>
          <w:lang w:val="ru-RU"/>
        </w:rPr>
        <w:t>Требования к документации по ценообразованию</w:t>
      </w:r>
      <w:bookmarkEnd w:id="31"/>
      <w:bookmarkEnd w:id="32"/>
      <w:r>
        <w:rPr>
          <w:lang w:val="ru-RU"/>
        </w:rPr>
        <w:t xml:space="preserve"> на этапе закупки</w:t>
      </w:r>
      <w:bookmarkEnd w:id="30"/>
    </w:p>
    <w:p>
      <w:pPr>
        <w:pStyle w:val="Normal"/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3.1. В обоснование стоимости своей заявки Участник предоставляет Коммерческое предложение по форме.</w:t>
      </w:r>
    </w:p>
    <w:p>
      <w:pPr>
        <w:pStyle w:val="Heading1"/>
        <w:keepLines/>
        <w:numPr>
          <w:ilvl w:val="0"/>
          <w:numId w:val="0"/>
        </w:numPr>
        <w:ind w:left="0" w:hanging="0"/>
        <w:jc w:val="left"/>
        <w:rPr/>
      </w:pPr>
      <w:bookmarkStart w:id="33" w:name="__RefHeading___Toc15026_4083542239"/>
      <w:bookmarkStart w:id="34" w:name="_Toc219988624"/>
      <w:bookmarkEnd w:id="33"/>
      <w:r>
        <w:rPr/>
        <w:t>4 . Приложени</w:t>
      </w:r>
      <w:bookmarkEnd w:id="34"/>
      <w:r>
        <w:rPr/>
        <w:t>е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Приложение №1 - Расчет стоимости технического обслуживания транспортных средств марки «</w:t>
      </w:r>
      <w:r>
        <w:rPr>
          <w:rFonts w:eastAsia="Calibri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  <w:t xml:space="preserve"> Ford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».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  <w:t>Куратор договора</w:t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  <w:t>Старший мастер СШТУ</w:t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  <w:t>Сулеков А.А.                        ________________</w:t>
      </w:r>
    </w:p>
    <w:p>
      <w:pPr>
        <w:pStyle w:val="NoSpacing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  <w:t>Технический куратор договора</w:t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  <w:t>Руководитель ГКЭОиРТС</w:t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rFonts w:eastAsia="Calibri" w:cs="Times New Roman"/>
          <w:i/>
          <w:color w:val="auto"/>
          <w:kern w:val="0"/>
          <w:sz w:val="24"/>
          <w:szCs w:val="24"/>
          <w:lang w:val="ru-RU" w:eastAsia="ru-RU" w:bidi="ar-SA"/>
        </w:rPr>
        <w:t xml:space="preserve">Лихошапко В.В.        </w:t>
      </w:r>
      <w:r>
        <w:rPr>
          <w:szCs w:val="22"/>
        </w:rPr>
        <w:t xml:space="preserve">          _________________</w:t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sectPr>
          <w:headerReference w:type="default" r:id="rId7"/>
          <w:headerReference w:type="first" r:id="rId8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extDirection w:val="lrTb"/>
          <w:docGrid w:type="default" w:linePitch="381" w:charSpace="0"/>
        </w:sect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>
          <w:rStyle w:val="Strong"/>
          <w:rFonts w:eastAsia="Times New Roman" w:cs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Приложение №1 - Расчет стоимости технического обслуживания транспортных средств марки «</w:t>
      </w:r>
      <w:r>
        <w:rPr>
          <w:rStyle w:val="Strong"/>
          <w:rFonts w:eastAsia="Calibri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0"/>
          <w:sz w:val="24"/>
          <w:szCs w:val="24"/>
          <w:u w:val="none"/>
          <w:em w:val="none"/>
          <w:lang w:val="ru-RU" w:eastAsia="ru-RU" w:bidi="ar-SA"/>
        </w:rPr>
        <w:t xml:space="preserve"> Ford</w:t>
      </w:r>
      <w:r>
        <w:rPr>
          <w:rStyle w:val="Strong"/>
          <w:rFonts w:eastAsia="Times New Roman" w:cs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».</w:t>
      </w:r>
      <w:r>
        <w:br w:type="page"/>
      </w:r>
    </w:p>
    <w:tbl>
      <w:tblPr>
        <w:tblW w:w="14631" w:type="dxa"/>
        <w:jc w:val="left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 w:noVBand="1" w:noHBand="0" w:lastColumn="0" w:firstColumn="1" w:lastRow="0" w:firstRow="1"/>
      </w:tblPr>
      <w:tblGrid>
        <w:gridCol w:w="6932"/>
        <w:gridCol w:w="1226"/>
        <w:gridCol w:w="1315"/>
        <w:gridCol w:w="1245"/>
        <w:gridCol w:w="1247"/>
        <w:gridCol w:w="1303"/>
        <w:gridCol w:w="1362"/>
      </w:tblGrid>
      <w:tr>
        <w:trPr>
          <w:trHeight w:val="184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ageBreakBefore/>
              <w:widowControl w:val="false"/>
              <w:jc w:val="center"/>
              <w:rPr/>
            </w:pPr>
            <w:r>
              <w:rPr>
                <w:b/>
                <w:sz w:val="18"/>
                <w:szCs w:val="18"/>
              </w:rPr>
              <w:t>Периодичность обслуживания (пробег, тыс. км)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18"/>
                <w:szCs w:val="18"/>
              </w:rPr>
              <w:t>15 т. км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18"/>
                <w:szCs w:val="18"/>
              </w:rPr>
              <w:t>30 т. км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18"/>
                <w:szCs w:val="18"/>
              </w:rPr>
              <w:t>45 т. км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18"/>
                <w:szCs w:val="18"/>
              </w:rPr>
              <w:t>60 т. км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18"/>
                <w:szCs w:val="18"/>
              </w:rPr>
              <w:t>75 т. км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18"/>
                <w:szCs w:val="18"/>
              </w:rPr>
              <w:t>90 т. км</w:t>
            </w:r>
          </w:p>
        </w:tc>
      </w:tr>
      <w:tr>
        <w:trPr>
          <w:trHeight w:val="437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Приводные ремни — проверка, регулировка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</w:tr>
      <w:tr>
        <w:trPr>
          <w:trHeight w:val="396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Моторное масло, масляный фильтр двигателя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</w:tr>
      <w:tr>
        <w:trPr>
          <w:trHeight w:val="396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Охлаждающая жидкость двигателя, гидроусилителя руля, омывателей стёкол и фар — проверка уровня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461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Узлы и агрегаты автомобиля — проверка на предмет утечек и внешних повреждений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450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Радиатор — проверка чистоты, проверка соединений шлангов и их правильного расположения, наличия коррозии и т.п.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</w:tr>
      <w:tr>
        <w:trPr>
          <w:trHeight w:val="333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Системы выпуска отработавших газов — проверка на герметичность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</w:tr>
      <w:tr>
        <w:trPr>
          <w:trHeight w:val="225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Топливный фильтр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</w:tr>
      <w:tr>
        <w:trPr>
          <w:trHeight w:val="225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Воздушный фильтр (включая проверку устройства предварительной очистки воздуха, если установлено)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</w:tr>
      <w:tr>
        <w:trPr>
          <w:trHeight w:val="289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Топливопроводов — проверка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</w:tr>
      <w:tr>
        <w:trPr>
          <w:trHeight w:val="631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Тормозная система — проверка педали тормоза, состояния тормозных колодок, дисков, суппортов, хода рычага стояночного тормоза, отсутствия утечек, состояния трубопроводов, шлангов, соединений, цилиндров, очистка и смазка тормозных механизмов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215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Стояночный тормоз — проверка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</w:tr>
      <w:tr>
        <w:trPr>
          <w:trHeight w:val="234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Тормозная жидкость — проверка, замена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450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Рулевое управление — проверка отсутствия утечек, люфтов, состояния пыльников, лёгкости вращения рулевого колеса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225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Смазка карданных валов и проверка момента затяжки болтов карданных валов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С/Р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С/Р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с/р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С/Р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С/Р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С/Р</w:t>
            </w:r>
          </w:p>
        </w:tc>
      </w:tr>
      <w:tr>
        <w:trPr>
          <w:trHeight w:val="289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Шарниры подвесок, пыльники шарниров, люфты ступичных подшипников — проверка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279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Трансмиссия (КПП) — проверка жидкости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</w:tr>
      <w:tr>
        <w:trPr>
          <w:trHeight w:val="225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Проверка масла раздаточной коробки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</w:tr>
      <w:tr>
        <w:trPr>
          <w:trHeight w:val="225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Проверка, замена масла заднего моста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513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Наружные и внутренние световые приборы, звуковые сигналы, стеклоочистители и омыватели — проверка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</w:t>
            </w:r>
          </w:p>
        </w:tc>
      </w:tr>
      <w:tr>
        <w:trPr>
          <w:trHeight w:val="215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Внутрисалонный фильтр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З</w:t>
            </w:r>
          </w:p>
        </w:tc>
      </w:tr>
      <w:tr>
        <w:trPr>
          <w:trHeight w:val="314" w:hRule="atLeast"/>
        </w:trPr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Системы кондиционирования — проверка работы и давления в системе хладагента</w:t>
            </w:r>
            <w:r>
              <w:rPr>
                <w:rStyle w:val="Strong"/>
                <w:b w:val="false"/>
                <w:bCs w:val="false"/>
                <w:sz w:val="18"/>
                <w:szCs w:val="18"/>
              </w:rPr>
              <w:t>* П - проверка,   З — замена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П/Дозаправка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П/Дозаправка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П/Дозаправка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П/Дозаправка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П/Дозаправка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П/Дозаправка</w:t>
            </w:r>
          </w:p>
        </w:tc>
      </w:tr>
    </w:tbl>
    <w:p>
      <w:pPr>
        <w:pStyle w:val="BodyText"/>
        <w:rPr>
          <w:rStyle w:val="Strong"/>
          <w:b w:val="false"/>
          <w:bCs w:val="false"/>
          <w:sz w:val="18"/>
          <w:szCs w:val="18"/>
        </w:rPr>
      </w:pPr>
      <w:r>
        <w:rPr>
          <w:b w:val="false"/>
          <w:bCs w:val="false"/>
          <w:sz w:val="18"/>
          <w:szCs w:val="18"/>
        </w:rPr>
      </w:r>
      <w:r>
        <w:br w:type="page"/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i/>
          <w:i/>
        </w:rPr>
      </w:pPr>
      <w:r>
        <w:rPr>
          <w:i/>
        </w:rPr>
      </w:r>
    </w:p>
    <w:p>
      <w:pPr>
        <w:pStyle w:val="NoSpacing"/>
        <w:spacing w:lineRule="auto" w:line="240"/>
        <w:jc w:val="both"/>
        <w:rPr>
          <w:b/>
          <w:iCs/>
          <w:caps/>
          <w:lang w:val="x-none" w:eastAsia="x-none"/>
        </w:rPr>
      </w:pPr>
      <w:r>
        <w:rPr/>
      </w:r>
    </w:p>
    <w:sectPr>
      <w:headerReference w:type="default" r:id="rId9"/>
      <w:headerReference w:type="first" r:id="rId10"/>
      <w:type w:val="nextPage"/>
      <w:pgSz w:orient="landscape" w:w="16838" w:h="11906"/>
      <w:pgMar w:left="1134" w:right="851" w:gutter="0" w:header="390" w:top="844" w:footer="0" w:bottom="29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10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14</w:t>
    </w:r>
    <w:r>
      <w:rPr/>
      <w:fldChar w:fldCharType="end"/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sid w:val="00d561d9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semiHidden/>
    <w:qFormat/>
    <w:rsid w:val="00b714b0"/>
    <w:rPr>
      <w:sz w:val="16"/>
      <w:szCs w:val="16"/>
    </w:rPr>
  </w:style>
  <w:style w:type="character" w:styleId="Strong">
    <w:name w:val="Strong"/>
    <w:uiPriority w:val="22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4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2"/>
    <w:qFormat/>
    <w:locked/>
    <w:rsid w:val="00d22f6d"/>
    <w:rPr>
      <w:sz w:val="28"/>
    </w:rPr>
  </w:style>
  <w:style w:type="character" w:styleId="Style5" w:customStyle="1">
    <w:name w:val="Текст сноски Знак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0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5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qFormat/>
    <w:rsid w:val="003879d4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8"/>
    <w:qFormat/>
    <w:rsid w:val="004a17ae"/>
    <w:rPr>
      <w:rFonts w:eastAsia="Calibri"/>
      <w:caps/>
      <w:sz w:val="28"/>
      <w:szCs w:val="28"/>
      <w:lang w:eastAsia="en-US"/>
    </w:rPr>
  </w:style>
  <w:style w:type="character" w:styleId="Style14">
    <w:name w:val="Ссылка указателя"/>
    <w:qFormat/>
    <w:rPr/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lang w:val="zxx" w:eastAsia="zxx" w:bidi="zxx"/>
    </w:rPr>
  </w:style>
  <w:style w:type="paragraph" w:styleId="Style18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9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rsid w:val="00d561d9"/>
    <w:pPr/>
    <w:rPr>
      <w:sz w:val="20"/>
      <w:szCs w:val="20"/>
    </w:rPr>
  </w:style>
  <w:style w:type="paragraph" w:styleId="13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2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4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uiPriority w:val="99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uppressAutoHyphens w:val="true"/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c517de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6b6b70"/>
    <w:pPr>
      <w:ind w:left="280" w:hanging="0"/>
    </w:pPr>
    <w:rPr>
      <w:rFonts w:cs="Calibri" w:cstheme="minorHAnsi"/>
      <w:sz w:val="20"/>
      <w:szCs w:val="20"/>
    </w:rPr>
  </w:style>
  <w:style w:type="paragraph" w:styleId="Style23" w:customStyle="1">
    <w:name w:val="Раздел регламента"/>
    <w:basedOn w:val="Normal"/>
    <w:qFormat/>
    <w:rsid w:val="00e228fa"/>
    <w:pPr/>
    <w:rPr/>
  </w:style>
  <w:style w:type="paragraph" w:styleId="Style24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693883"/>
    <w:pPr>
      <w:spacing w:before="240" w:after="0"/>
    </w:pPr>
    <w:rPr>
      <w:rFonts w:cs="Calibri" w:cstheme="minorHAnsi"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5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6b6b70"/>
    <w:pPr>
      <w:tabs>
        <w:tab w:val="clear" w:pos="708"/>
        <w:tab w:val="left" w:pos="1120" w:leader="none"/>
        <w:tab w:val="right" w:pos="9911" w:leader="none"/>
      </w:tabs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6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6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3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4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7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6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8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9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0" w:customStyle="1">
    <w:name w:val="Подподпункт"/>
    <w:basedOn w:val="Style22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1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5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2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7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567" w:leader="none"/>
      </w:tabs>
      <w:suppressAutoHyphens w:val="true"/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3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8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4">
    <w:name w:val="Содержимое врезки"/>
    <w:basedOn w:val="Normal"/>
    <w:qFormat/>
    <w:pPr/>
    <w:rPr/>
  </w:style>
  <w:style w:type="paragraph" w:styleId="Style35">
    <w:name w:val="Содержимое таблицы"/>
    <w:basedOn w:val="Normal"/>
    <w:qFormat/>
    <w:pPr>
      <w:widowControl w:val="false"/>
      <w:suppressLineNumbers/>
    </w:pPr>
    <w:rPr/>
  </w:style>
  <w:style w:type="paragraph" w:styleId="Style36">
    <w:name w:val="Заголовок таблицы"/>
    <w:basedOn w:val="Style35"/>
    <w:qFormat/>
    <w:pPr>
      <w:suppressLineNumbers/>
      <w:jc w:val="center"/>
    </w:pPr>
    <w:rPr>
      <w:b/>
      <w:bCs/>
    </w:rPr>
  </w:style>
  <w:style w:type="paragraph" w:styleId="Style3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57E4B-9318-488A-897A-84D734DD5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5880</TotalTime>
  <Application>AlterOffice/3.4.0.9$Linux_X86_64 LibreOffice_project/b8daf9e823b1a5463a2f48435ddc2e8696e7d4fc</Application>
  <AppVersion>15.0000</AppVersion>
  <Pages>14</Pages>
  <Words>1628</Words>
  <Characters>10302</Characters>
  <CharactersWithSpaces>11622</CharactersWithSpaces>
  <Paragraphs>392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2023-02-17T07:59:00Z</dcterms:created>
  <dc:creator>Быстров Олег Геннадьевич</dc:creator>
  <dc:description/>
  <dc:language>ru-RU</dc:language>
  <cp:lastModifiedBy>sulekovaa@corp.gidroogk.com</cp:lastModifiedBy>
  <cp:lastPrinted>2026-02-25T11:12:35Z</cp:lastPrinted>
  <dcterms:modified xsi:type="dcterms:W3CDTF">2026-05-28T14:42:07Z</dcterms:modified>
  <cp:revision>43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