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sz w:val="26"/>
          <w:szCs w:val="26"/>
        </w:rPr>
        <w:t>ОКПД 2:</w:t>
      </w:r>
      <w:r>
        <w:rPr>
          <w:color w:val="000000"/>
          <w:sz w:val="24"/>
          <w:szCs w:val="24"/>
        </w:rPr>
        <w:t xml:space="preserve"> 71.20.12.000 </w:t>
      </w:r>
      <w:r>
        <w:rPr>
          <w:rFonts w:eastAsia="Calibri"/>
          <w:sz w:val="26"/>
          <w:szCs w:val="26"/>
        </w:rPr>
        <w:t xml:space="preserve">Оказание услуг по определению физико-механических свойств строительных материалов и изделий для нужд Северо-Кавказского филиала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TOC1"/>
        <w:rPr>
          <w:rFonts w:eastAsia="新細明體" w:eastAsiaTheme="minorEastAsia"/>
        </w:rPr>
      </w:pPr>
      <w:r>
        <w:rPr>
          <w:rFonts w:eastAsia="新細明體" w:eastAsiaTheme="minorEastAsia"/>
        </w:rPr>
      </w:r>
    </w:p>
    <w:p>
      <w:pPr>
        <w:pStyle w:val="Heading2"/>
        <w:numPr>
          <w:ilvl w:val="0"/>
        </w:numPr>
        <w:tabs>
          <w:tab w:val="clear" w:pos="0"/>
        </w:tabs>
        <w:ind w:hanging="0" w:left="0"/>
        <w:rPr>
          <w:b w:val="false"/>
          <w:lang w:val="ru-RU"/>
        </w:rPr>
      </w:pPr>
      <w:r>
        <w:rPr>
          <w:lang w:val="ru-RU"/>
        </w:rPr>
        <w:t>1.</w:t>
      </w:r>
      <w:r>
        <w:rPr/>
        <w:t xml:space="preserve"> </w:t>
      </w:r>
      <w:r>
        <w:rPr>
          <w:b w:val="false"/>
          <w:lang w:val="ru-RU"/>
        </w:rPr>
        <w:tab/>
      </w:r>
      <w:r>
        <w:rPr>
          <w:lang w:val="ru-RU"/>
        </w:rPr>
        <w:t>Общие сведения</w:t>
      </w:r>
      <w:r>
        <w:rPr>
          <w:b w:val="false"/>
          <w:lang w:val="ru-RU"/>
        </w:rPr>
        <w:t>………………………………………………………..………………….</w:t>
      </w:r>
      <w:r>
        <w:rPr>
          <w:lang w:val="ru-RU"/>
        </w:rPr>
        <w:t>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1.1.      Обозначения и сокращения………………………………………………………………..3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1.2.      Наименование услуг…………………………………………………………………….….3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1.3.      Цель оказания услуг………………………………………………………………………..3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1.4.      Существующее положение………………………………………………………………...3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Таблица 1.</w:t>
      </w:r>
      <w:r>
        <w:rPr>
          <w:sz w:val="24"/>
          <w:szCs w:val="24"/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Перечень объектов заказчика</w:t>
      </w:r>
      <w:r>
        <w:rPr>
          <w:sz w:val="24"/>
          <w:szCs w:val="24"/>
          <w:lang w:eastAsia="x-none"/>
        </w:rPr>
        <w:t>………………………...………………...….………</w:t>
      </w:r>
      <w:r>
        <w:rPr>
          <w:b/>
          <w:sz w:val="24"/>
          <w:szCs w:val="24"/>
          <w:lang w:eastAsia="x-none"/>
        </w:rPr>
        <w:t>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2.</w:t>
      </w:r>
      <w:r>
        <w:rPr>
          <w:sz w:val="24"/>
          <w:szCs w:val="24"/>
          <w:lang w:eastAsia="x-none"/>
        </w:rPr>
        <w:t xml:space="preserve">         </w:t>
      </w:r>
      <w:r>
        <w:rPr>
          <w:b/>
          <w:sz w:val="24"/>
          <w:szCs w:val="24"/>
        </w:rPr>
        <w:t>Требования к продукции</w:t>
      </w:r>
      <w:r>
        <w:rPr>
          <w:sz w:val="24"/>
          <w:szCs w:val="24"/>
        </w:rPr>
        <w:t>……………………………………………………….………...</w:t>
      </w:r>
      <w:r>
        <w:rPr>
          <w:b/>
          <w:sz w:val="24"/>
          <w:szCs w:val="24"/>
        </w:rPr>
        <w:t>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2.1.      Требования к объемам и срокам оказания услуг…………………………………………3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val="x-none" w:eastAsia="x-none"/>
        </w:rPr>
        <w:t>2.1.1</w:t>
      </w:r>
      <w:r>
        <w:rPr>
          <w:sz w:val="24"/>
          <w:szCs w:val="24"/>
          <w:lang w:eastAsia="x-none"/>
        </w:rPr>
        <w:t>.</w:t>
      </w:r>
      <w:r>
        <w:rPr>
          <w:sz w:val="24"/>
          <w:szCs w:val="24"/>
          <w:lang w:val="x-none" w:eastAsia="x-none"/>
        </w:rPr>
        <w:tab/>
        <w:t>Требования к перечню и объему услуг</w:t>
      </w:r>
      <w:r>
        <w:rPr>
          <w:sz w:val="24"/>
          <w:szCs w:val="24"/>
          <w:lang w:eastAsia="x-none"/>
        </w:rPr>
        <w:t>……………………………………………………3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Таблица 2. Перечень и объем оказываемых услуг</w:t>
      </w:r>
      <w:r>
        <w:rPr>
          <w:sz w:val="24"/>
          <w:szCs w:val="24"/>
          <w:lang w:eastAsia="x-none"/>
        </w:rPr>
        <w:t>……………  ………………………….….</w:t>
      </w:r>
      <w:r>
        <w:rPr>
          <w:b/>
          <w:sz w:val="24"/>
          <w:szCs w:val="24"/>
          <w:lang w:eastAsia="x-none"/>
        </w:rPr>
        <w:t>3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</w:t>
      </w:r>
      <w:r>
        <w:rPr>
          <w:sz w:val="24"/>
          <w:szCs w:val="24"/>
          <w:lang w:eastAsia="x-none"/>
        </w:rPr>
        <w:t>Перечень услуг……………………………………………………………………………...4</w:t>
      </w:r>
    </w:p>
    <w:p>
      <w:pPr>
        <w:pStyle w:val="Normal"/>
        <w:rPr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Таблица 3. Требования к срокам оказания услуг</w:t>
      </w:r>
      <w:r>
        <w:rPr>
          <w:sz w:val="24"/>
          <w:szCs w:val="24"/>
          <w:lang w:eastAsia="x-none"/>
        </w:rPr>
        <w:t>……………………..………………….…...</w:t>
      </w:r>
      <w:r>
        <w:rPr>
          <w:b/>
          <w:sz w:val="24"/>
          <w:szCs w:val="24"/>
          <w:lang w:eastAsia="x-none"/>
        </w:rPr>
        <w:t>4</w:t>
      </w:r>
    </w:p>
    <w:p>
      <w:pPr>
        <w:pStyle w:val="Normal"/>
        <w:rPr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Таблица 4. Требования к качеству услуг</w:t>
      </w:r>
      <w:r>
        <w:rPr>
          <w:sz w:val="24"/>
          <w:szCs w:val="24"/>
          <w:lang w:eastAsia="x-none"/>
        </w:rPr>
        <w:t>…………….………...……….……...…...….………</w:t>
      </w:r>
      <w:r>
        <w:rPr>
          <w:b/>
          <w:sz w:val="24"/>
          <w:szCs w:val="24"/>
          <w:lang w:eastAsia="x-none"/>
        </w:rPr>
        <w:t>4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hanging="357" w:left="357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Normal"/>
        <w:keepNext w:val="true"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Обозначения и сокращения</w:t>
      </w:r>
    </w:p>
    <w:p>
      <w:pPr>
        <w:pStyle w:val="Normal"/>
        <w:keepNext w:val="true"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8137"/>
      </w:tblGrid>
      <w:tr>
        <w:trPr>
          <w:trHeight w:val="35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предприятия</w:t>
            </w:r>
          </w:p>
        </w:tc>
      </w:tr>
      <w:tr>
        <w:trPr>
          <w:trHeight w:val="35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>
        <w:trPr>
          <w:trHeight w:val="35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35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35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Публичное акционерное общес</w:t>
            </w:r>
            <w:r>
              <w:rPr>
                <w:sz w:val="24"/>
                <w:szCs w:val="24"/>
                <w:lang w:val="en-US"/>
              </w:rPr>
              <w:t>тво</w:t>
            </w:r>
          </w:p>
        </w:tc>
      </w:tr>
      <w:tr>
        <w:trPr>
          <w:trHeight w:val="357" w:hRule="atLeast"/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8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</w:tbl>
    <w:p>
      <w:pPr>
        <w:pStyle w:val="Normal"/>
        <w:keepNext w:val="true"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1.2. Наименование услуг</w:t>
        <w:tab/>
      </w:r>
    </w:p>
    <w:p>
      <w:pPr>
        <w:pStyle w:val="Normal"/>
        <w:keepNext w:val="true"/>
        <w:keepLines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 2:</w:t>
      </w:r>
      <w:r>
        <w:rPr/>
        <w:t xml:space="preserve"> </w:t>
      </w:r>
      <w:r>
        <w:rPr>
          <w:rFonts w:eastAsia="Calibri"/>
          <w:sz w:val="26"/>
          <w:szCs w:val="26"/>
        </w:rPr>
        <w:t xml:space="preserve">71.20.12.000 Оказание услуг по определению физико-механических свойств строительных материалов и изделий </w:t>
      </w:r>
      <w:r>
        <w:rPr>
          <w:rFonts w:eastAsia="Calibri"/>
          <w:sz w:val="26"/>
          <w:szCs w:val="26"/>
        </w:rPr>
        <w:t xml:space="preserve">для нужд </w:t>
      </w:r>
      <w:r>
        <w:rPr>
          <w:rFonts w:eastAsia="Calibri"/>
          <w:sz w:val="26"/>
          <w:szCs w:val="26"/>
        </w:rPr>
        <w:t xml:space="preserve">Северо-Кавказского филиала </w:t>
      </w:r>
    </w:p>
    <w:p>
      <w:pPr>
        <w:pStyle w:val="Normal"/>
        <w:keepNext w:val="true"/>
        <w:keepLines/>
        <w:jc w:val="both"/>
        <w:rPr>
          <w:rFonts w:eastAsia="Calibri"/>
          <w:b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  <w:t>1.</w:t>
      </w:r>
      <w:r>
        <w:rPr>
          <w:rFonts w:eastAsia="Calibri"/>
          <w:b/>
          <w:bCs/>
          <w:sz w:val="24"/>
          <w:szCs w:val="24"/>
          <w:lang w:eastAsia="x-none"/>
        </w:rPr>
        <w:t>3</w:t>
      </w:r>
      <w:r>
        <w:rPr>
          <w:rFonts w:eastAsia="Calibri"/>
          <w:b/>
          <w:bCs/>
          <w:sz w:val="24"/>
          <w:szCs w:val="24"/>
          <w:lang w:val="x-none" w:eastAsia="x-none"/>
        </w:rPr>
        <w:t>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Цель оказания услуг</w:t>
      </w:r>
    </w:p>
    <w:p>
      <w:pPr>
        <w:pStyle w:val="Normal"/>
        <w:keepNext w:val="true"/>
        <w:keepLines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обязательств по договору подряда №1170-196-2025 от 29.10.2025 г. «Выполнение работ по монтажу, пусконаладке и комплексному опробованию электротехнического оборудования для ОРУ-110 кВ Аушигерской ГЭС», заключенного между ПАО «РусГидро» и АО «Гидроремонт-ВКК», для нужд Северо-Кавказского филиала АО «Гидроремонт-ВКК» в с. Заюково.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1.4. Существующее положение</w:t>
      </w:r>
    </w:p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</w:p>
    <w:tbl>
      <w:tblPr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6"/>
        <w:gridCol w:w="2686"/>
        <w:gridCol w:w="2133"/>
        <w:gridCol w:w="2129"/>
        <w:gridCol w:w="1984"/>
      </w:tblGrid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/>
              <w:rPr/>
            </w:pPr>
            <w:r>
              <w:rPr/>
              <w:t>1.1.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Аушигерская  ГЭС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КБР, Черекский район, с. Аушигер, ОРУ -110, Аушигерская ГЭС.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ОРУ -110кВ, Аушигерская ГЭС.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jc w:val="center"/>
        <w:rPr/>
      </w:pPr>
      <w:bookmarkStart w:id="0" w:name="_Hlk48209761"/>
      <w:bookmarkStart w:id="1" w:name="_Hlk48209761_Копия_1"/>
      <w:bookmarkStart w:id="2" w:name="_Toc46743510"/>
      <w:bookmarkStart w:id="3" w:name="_Toc50125126"/>
      <w:bookmarkEnd w:id="0"/>
      <w:bookmarkEnd w:id="1"/>
      <w:bookmarkEnd w:id="2"/>
      <w:bookmarkEnd w:id="3"/>
      <w:r>
        <w:rPr>
          <w:sz w:val="24"/>
          <w:szCs w:val="24"/>
        </w:rPr>
        <w:t>2.</w:t>
      </w:r>
      <w:bookmarkStart w:id="4" w:name="_Toc51339693"/>
      <w:r>
        <w:rPr>
          <w:sz w:val="24"/>
          <w:szCs w:val="24"/>
        </w:rPr>
        <w:t>Требования к продукции</w:t>
      </w:r>
      <w:bookmarkEnd w:id="4"/>
    </w:p>
    <w:p>
      <w:pPr>
        <w:pStyle w:val="Heading4"/>
        <w:numPr>
          <w:ilvl w:val="1"/>
          <w:numId w:val="8"/>
        </w:numPr>
        <w:rPr/>
      </w:pP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8"/>
        </w:numPr>
        <w:rPr/>
      </w:pPr>
      <w:r>
        <w:rPr>
          <w:lang w:val="ru-RU"/>
        </w:rPr>
        <w:t>Требования к перечню и объему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rPr>
          <w:sz w:val="24"/>
          <w:szCs w:val="24"/>
          <w:lang w:val="ru-RU"/>
        </w:rPr>
      </w:pPr>
      <w:bookmarkStart w:id="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5"/>
      <w:r>
        <w:rPr>
          <w:sz w:val="24"/>
          <w:szCs w:val="24"/>
          <w:lang w:val="ru-RU"/>
        </w:rPr>
        <w:t>и объем оказываемых услуг</w:t>
      </w:r>
    </w:p>
    <w:tbl>
      <w:tblPr>
        <w:tblW w:w="9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3"/>
        <w:gridCol w:w="4816"/>
        <w:gridCol w:w="7"/>
        <w:gridCol w:w="2135"/>
        <w:gridCol w:w="2103"/>
      </w:tblGrid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37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/>
              <w:rPr/>
            </w:pPr>
            <w:r>
              <w:rPr/>
              <w:t>1.1.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 xml:space="preserve">ОКПД 2: 71.20.12.000 Оказание услуг по определению физико-механических свойств строительных материалов и изделий для нужд Северо-Кавказского филиала </w:t>
            </w:r>
            <w:r>
              <w:rPr/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(в соответствии с перечнем услуг)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  <w:lang w:val="en-US"/>
              </w:rPr>
            </w:pPr>
            <w:r>
              <w:rPr>
                <w:rStyle w:val="211pt"/>
                <w:sz w:val="24"/>
                <w:szCs w:val="24"/>
              </w:rPr>
              <w:t>Условная единица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  <w:lang w:val="en-US"/>
              </w:rPr>
            </w:pPr>
            <w:r>
              <w:rPr>
                <w:rStyle w:val="211pt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 xml:space="preserve">* </w:t>
      </w:r>
      <w:r>
        <w:rPr>
          <w:b/>
          <w:bCs/>
          <w:sz w:val="24"/>
          <w:szCs w:val="24"/>
        </w:rPr>
        <w:t>Перечень услуг</w:t>
      </w:r>
    </w:p>
    <w:tbl>
      <w:tblPr>
        <w:tblW w:w="98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4"/>
        <w:gridCol w:w="4823"/>
        <w:gridCol w:w="2135"/>
        <w:gridCol w:w="2117"/>
      </w:tblGrid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hanging="726" w:left="792"/>
              <w:rPr/>
            </w:pPr>
            <w:r>
              <w:rPr/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водонепроницаемости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hanging="726" w:left="792"/>
              <w:rPr/>
            </w:pPr>
            <w:r>
              <w:rPr/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морозостойкости базовым методом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hanging="726" w:left="792"/>
              <w:rPr/>
            </w:pPr>
            <w:r>
              <w:rPr/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коэффициента уплотнения грунта динаметрическим плотномером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>
        <w:trPr/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hanging="726" w:left="792"/>
              <w:rPr/>
            </w:pPr>
            <w:r>
              <w:rPr/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прочности раствора на сжатие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rPr>
          <w:sz w:val="24"/>
          <w:szCs w:val="24"/>
          <w:lang w:val="ru-RU"/>
        </w:rPr>
      </w:pPr>
      <w:bookmarkStart w:id="6" w:name="_Toc51339697"/>
      <w:bookmarkStart w:id="7" w:name="_Toc50125127"/>
      <w:bookmarkStart w:id="8" w:name="_Toc50125126_Копия_1"/>
      <w:bookmarkEnd w:id="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6"/>
      <w:bookmarkEnd w:id="7"/>
      <w:bookmarkEnd w:id="9"/>
      <w:r>
        <w:rPr>
          <w:sz w:val="24"/>
          <w:szCs w:val="24"/>
          <w:lang w:val="ru-RU"/>
        </w:rPr>
        <w:t>оказания услуг</w:t>
      </w:r>
    </w:p>
    <w:tbl>
      <w:tblPr>
        <w:tblW w:w="977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"/>
        <w:gridCol w:w="3276"/>
        <w:gridCol w:w="2614"/>
        <w:gridCol w:w="2751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360"/>
              <w:rPr/>
            </w:pPr>
            <w:r>
              <w:rPr/>
              <w:t>1.1.</w:t>
            </w:r>
            <w:bookmarkStart w:id="10" w:name="_GoBack"/>
            <w:bookmarkEnd w:id="10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ОКПД 2:</w:t>
            </w:r>
            <w:r>
              <w:rPr>
                <w:rFonts w:eastAsia="Calibri"/>
                <w:sz w:val="26"/>
                <w:szCs w:val="26"/>
              </w:rPr>
              <w:t xml:space="preserve"> 71.20.12.000 </w:t>
            </w:r>
            <w:r>
              <w:rPr>
                <w:rStyle w:val="211pt"/>
                <w:rFonts w:eastAsia="Calibri"/>
                <w:sz w:val="26"/>
                <w:szCs w:val="26"/>
              </w:rPr>
              <w:t>Оказание услуг по определению физико-механических свойств строительных материалов и изделий для нужд Северо-Кавказского филиала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не позднее</w:t>
            </w:r>
            <w:r>
              <w:rPr>
                <w:rStyle w:val="211pt"/>
                <w:sz w:val="24"/>
                <w:szCs w:val="24"/>
                <w:lang w:val="en-US"/>
              </w:rPr>
              <w:t xml:space="preserve"> 30</w:t>
            </w:r>
            <w:r>
              <w:rPr>
                <w:rStyle w:val="211pt"/>
                <w:sz w:val="24"/>
                <w:szCs w:val="24"/>
              </w:rPr>
              <w:t>.12.2026г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bookmarkStart w:id="11" w:name="_Toc46743510_Копия_1"/>
      <w:bookmarkEnd w:id="11"/>
      <w:r>
        <w:rPr>
          <w:rFonts w:eastAsia="Calibri"/>
          <w:sz w:val="24"/>
          <w:szCs w:val="24"/>
          <w:lang w:eastAsia="x-none"/>
        </w:rPr>
        <w:t xml:space="preserve">*Согласно календарного графика к </w:t>
      </w:r>
      <w:r>
        <w:rPr>
          <w:sz w:val="24"/>
          <w:szCs w:val="24"/>
        </w:rPr>
        <w:t>договору подряда №1170-196-2025 от 29.10.2025г.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rPr>
          <w:sz w:val="24"/>
          <w:szCs w:val="24"/>
        </w:rPr>
      </w:pPr>
      <w:bookmarkStart w:id="12" w:name="_Toc5133969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12"/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tbl>
      <w:tblPr>
        <w:tblStyle w:val="affff7"/>
        <w:tblW w:w="100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2"/>
        <w:gridCol w:w="2482"/>
        <w:gridCol w:w="6696"/>
      </w:tblGrid>
      <w:tr>
        <w:trPr>
          <w:trHeight w:val="276" w:hRule="atLeast"/>
        </w:trPr>
        <w:tc>
          <w:tcPr>
            <w:tcW w:w="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6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3"/>
          </w:p>
        </w:tc>
        <w:tc>
          <w:tcPr>
            <w:tcW w:w="24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Соблюдение норм и правил нормативно-технических документов</w:t>
            </w:r>
          </w:p>
        </w:tc>
        <w:tc>
          <w:tcPr>
            <w:tcW w:w="6696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выполнении работ Исполнитель должен руководствоваться следующими национальными, отраслевыми и корпоративными нормативно-техническими документами: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ГОСТ 10180-2012 «Бетоны. Методы определения прочности по контрольным образцам»;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 по охране труда при погрузочно-разгрузочных работах и размещении грузов», утверждённых приказом Минтруда России от 28.10.2020 г. № 753н, зарегистрированных в Минюсте России 15.12.2020 N 61471;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Иметь квалификацию и опыт, соответствующие выполняемым работам. Инструктаж, обучение и проверка знаний по охране труда рабочих и инженерно - технических работников должны быть организованы в соответствии - Постановлением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СП 48.13330.2019. Свод правил. Организация строительства. СНиП 12-01-2004" (утв. и введён в действие Приказом Минстроя России от 24.12.2019 N 861/пр);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Проводимые работы по подъему и транспортировке людей с применением ПС должны в полной мере соответствовать требованиям пунктов 115, 137, 235-247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(утверждены приказом Ростехнадзора №461 от 26.11.2020 г.).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испытательным лабораториям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испытательным лабораториям</w:t>
            </w:r>
          </w:p>
        </w:tc>
        <w:tc>
          <w:tcPr>
            <w:tcW w:w="6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Лаборатория, выполняющая работы, должна быть аттестована в соответствии с требованиями Правил аттестации и основных требований к лабораториям неразрушающего контроля (СДАНК-01-2020).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Лаборатория должна соответствовать требованиям ГОСТ Р ИСО/МЭК 17025-2017 и настоящему документу является основанием для признания результатов испытаний странами, заключившими соглашения о взаимном признании с соответствующими органами по аккредитации других стран.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28.12.2013 № 412-ФЗ (ред. от 23.06.2014) «Об аккредитации в национальной системе аккредитации»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Приказ Минэкономразвития России от от 16 августа 2021 г. N 496 «Об утверждении форм заявления об аккредитации, заявления о расширении области аккредитации, заявления о сокращении области аккредитации, заявления о проведении процедуры подтверждения компетентности аккредитованного лица, заявления о внесении изменений в сведения реестра аккредитованных лиц, заявления о выдаче аттестата аккредитации на бумажном носителе, заявления о выдаче дубликата аттестата аккредитации, заявления о прекращении действия аккредитации».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Приказа Минэкономразвития от  19.08.2019 г. N 506 «Об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Приказ Минэкономразвития России от 01.08.2023 N 542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от 30 октября 2018 г. N 866-ст «Общие требования к аккредитации испытательных лабораторий,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СДА-15-2009 «Требования к испытательным лабораториям»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6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 производстве работ должен соблюдать: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24.12.2021 N 2464 "О порядке обучения по охране труда и проверки знания требований охраны труда"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 по охране труда при эксплуатации электроустановок, утверждённых приказом Министерство труда и социальной защиты РФ от 15.12.2020г. № 903н, зарегистрированных в Минюсте России 30.12.2020 N 61957;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 по охране труда при строительстве, реконструкции и ремонте, утверждённых приказом Минтруда России от 11.12.2020 N 883н, зарегистрированных в Минюсте России 24.12.2020 N 61787;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СНиП 12-03-2001«Безопасность труда в строительстве» Часть 1. Общие требования, утвержденных Постановлением Госстроя РФ от 23.07.2001 N 80, зарегистрированных в Минюсте РФ 09.08.2001 N 2862;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СНиП 12-04-2002 «Безопасность труда в строительстве» Часть 2. Строительное Производство, утвержденных Постановлением Госстроя России от 17.09.2002 N 123, зарегистрированных в Минюсте России 18.10.2002 N 3880;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СП 12-136-2002 «Решения по охране труда и промышленной безопасности в ПНР и ПОС», утвержденных Постановлением Госстроя РФ от 17.09.2002 N 122;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 по охране труда при погрузочно-разгрузочных работах и размещении грузов», утверждённых приказом Минтруда России от 28.10.2020 г. № 753н, зарегистрированных в Минюсте России 15.12.2020 N 61471;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ГОСТ 12.3.009-76 «ССБТ. Работы погрузочно-разгрузочные. Общие требования безопасности», утвержден Постановлением Госстандарта СССР от 23.03.1976 N 670;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от 06.06.2023 N 362-СТ Межгосударственный стандарт. Система стандартов безопасности труда. Организация обучения безопасности труда. Общие положения" (вместе с "Программами обучения безопасности труда") (введен в действие Приказом Росстандарта от 09.06.2016 N 600-ст);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10.09.2020 N 1391 "Об утверждении Правил охраны поверхностных водных объектов";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ФЗ № 7 от 10.01.2002 г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 противопожарного режима в Российской Федерации, утверждённых постановлением Правительства РФ от 16.09.2020 N 1479;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45.13330.2017. Свод правил. Земляные сооружения, основания и фундаменты. Актуализированная редакция СНиП 3.02.01-87" (утв. и введен в действие Приказом Минстроя России от 27.02.2017 N 125/пр) (ред. от 20.11.2019)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Приказ Минстроя России от 27.07.2017 N 1033/пр "Об утверждении СП 68.13330.2017 "СНиП 3.01.04-87 Приемка в эксплуатацию законченных строительством объектов. Основные положения";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Приказ Ростехнадзора от 23.08.2023 N 306"Об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 (Приказы Минстроя РФ № 1026/ПР от 02.12.2022 и № 344/пр от 16.05.2023)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 по охране труда при работе с инструментом и приспособлениями, утверждённых Приказом Минтруда России от 27.11.2020 г. № 835н, зарегистрированных в Минюсте России 11.12.2020 N 61411;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Заводскими инструкциями.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По результатам выполнения работ должны быть предоставлены протоколы и результаты лабораторных испытаний и исследований на бумажном носителе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1199" w:left="1224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Style w:val="211pt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Перед передачей результатов работ Субподрядчик обязан передать Генеральному подрядчику «Отчёт о выполненных работах». Подтверждением оказания услуг  является подписанный с обеих сторон Акт приема-передачи комплекта протоколов и результатов лабораторных исследований и испытаний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6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6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hanging="432" w:left="574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211pt" w:customStyle="1">
    <w:name w:val="Основной текст (2) + 11 pt"/>
    <w:basedOn w:val="DefaultParagraphFont"/>
    <w:qFormat/>
    <w:rsid w:val="00fa477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05pt" w:customStyle="1">
    <w:name w:val="Основной текст (2) + 10;5 pt;Полужирный"/>
    <w:basedOn w:val="DefaultParagraphFont"/>
    <w:qFormat/>
    <w:rsid w:val="00fa477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46efe"/>
    <w:pPr>
      <w:tabs>
        <w:tab w:val="clear" w:pos="708"/>
        <w:tab w:val="right" w:pos="9911" w:leader="dot"/>
      </w:tabs>
      <w:spacing w:before="120" w:after="0"/>
      <w:jc w:val="both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96B9-2421-4754-82CF-9DB49BB5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AlterOffice/2026.1.0.0$Linux_X86_64 LibreOffice_project/a0185688e0f3f228c7940c57a96eaa0ebba58757</Application>
  <AppVersion>15.0000</AppVersion>
  <Pages>7</Pages>
  <Words>1320</Words>
  <Characters>9469</Characters>
  <CharactersWithSpaces>10695</CharactersWithSpaces>
  <Paragraphs>174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2026-02-11T13:49:00Z</dcterms:created>
  <dc:creator>Быстров Олег Геннадьевич</dc:creator>
  <dc:description/>
  <dc:language>ru-RU</dc:language>
  <cp:lastModifiedBy>velikosvyatnn@corp.gidroogk.com</cp:lastModifiedBy>
  <cp:lastPrinted>2025-03-20T08:42:00Z</cp:lastPrinted>
  <dcterms:modified xsi:type="dcterms:W3CDTF">2026-05-28T13:34:02Z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