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sz w:val="26"/>
          <w:szCs w:val="26"/>
          <w:lang w:val="x-none"/>
        </w:rPr>
        <w:t>ОКПД 2: 20.42.15 Поставка средств гигиены для нужд Кубанского филиала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sz w:val="22"/>
              <w:b w:val="false"/>
              <w:szCs w:val="22"/>
              <w:bCs w:val="false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b w:val="false"/>
              <w:szCs w:val="22"/>
              <w:bCs w:val="false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b w:val="false"/>
                <w:bCs w:val="false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2"/>
                <w:szCs w:val="22"/>
              </w:rPr>
              <w:tab/>
              <w:t xml:space="preserve"> </w:t>
            </w:r>
            <w:r>
              <w:rPr>
                <w:rStyle w:val="Style14"/>
                <w:b w:val="false"/>
                <w:bCs w:val="false"/>
                <w:sz w:val="22"/>
                <w:szCs w:val="22"/>
              </w:rPr>
              <w:t>Общие сведения</w:t>
              <w:tab/>
            </w:r>
          </w:hyperlink>
          <w:r>
            <w:rPr>
              <w:b w:val="false"/>
              <w:bCs w:val="false"/>
              <w:sz w:val="22"/>
              <w:szCs w:val="22"/>
            </w:rPr>
            <w:t>3</w:t>
          </w:r>
        </w:p>
        <w:p>
          <w:pPr>
            <w:pStyle w:val="TOC4"/>
            <w:tabs>
              <w:tab w:val="clear" w:pos="560"/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7">
            <w:r>
              <w:rPr>
                <w:webHidden/>
                <w:rStyle w:val="Style14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iCs/>
                <w:sz w:val="22"/>
                <w:szCs w:val="22"/>
              </w:rPr>
              <w:t xml:space="preserve">     </w:t>
            </w:r>
            <w:r>
              <w:rPr>
                <w:rStyle w:val="Style14"/>
                <w:sz w:val="22"/>
                <w:szCs w:val="22"/>
              </w:rPr>
              <w:t>Обозначения и сокращения</w:t>
              <w:tab/>
            </w:r>
          </w:hyperlink>
          <w:r>
            <w:rPr>
              <w:sz w:val="22"/>
              <w:szCs w:val="22"/>
            </w:rPr>
            <w:t>3</w:t>
          </w:r>
        </w:p>
        <w:p>
          <w:pPr>
            <w:pStyle w:val="TOC4"/>
            <w:tabs>
              <w:tab w:val="clear" w:pos="560"/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" w:cstheme="minorBidi" w:eastAsiaTheme="minorEastAsia"/>
                <w:iCs/>
                <w:sz w:val="22"/>
                <w:szCs w:val="22"/>
              </w:rPr>
              <w:t xml:space="preserve">     </w:t>
            </w:r>
            <w:r>
              <w:rPr>
                <w:rStyle w:val="Style14"/>
                <w:sz w:val="22"/>
                <w:szCs w:val="22"/>
              </w:rPr>
              <w:t>Наименование закупаемой продукции</w:t>
              <w:tab/>
            </w:r>
          </w:hyperlink>
          <w:r>
            <w:rPr>
              <w:sz w:val="22"/>
              <w:szCs w:val="22"/>
            </w:rPr>
            <w:t>4</w:t>
          </w:r>
        </w:p>
        <w:p>
          <w:pPr>
            <w:pStyle w:val="TOC4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1.3.     Цель использования закупаемой продукции </w:t>
            <w:tab/>
            <w:t>4</w:t>
          </w:r>
        </w:p>
        <w:p>
          <w:pPr>
            <w:pStyle w:val="TOC1"/>
            <w:rPr>
              <w:b w:val="false"/>
              <w:bCs w:val="false"/>
              <w:sz w:val="22"/>
              <w:szCs w:val="22"/>
            </w:rPr>
          </w:pPr>
          <w:r>
            <w:rPr>
              <w:b w:val="false"/>
              <w:bCs w:val="false"/>
              <w:color w:val="000000"/>
              <w:sz w:val="22"/>
              <w:szCs w:val="22"/>
            </w:rPr>
            <w:t>2.</w:t>
            <w:tab/>
            <w:t xml:space="preserve"> Требования к продукции</w:t>
            <w:tab/>
            <w:t>4</w:t>
          </w:r>
        </w:p>
        <w:p>
          <w:pPr>
            <w:pStyle w:val="TOC4"/>
            <w:tabs>
              <w:tab w:val="clear" w:pos="560"/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iCs/>
                <w:sz w:val="22"/>
                <w:szCs w:val="22"/>
              </w:rPr>
              <w:t xml:space="preserve">     </w:t>
            </w:r>
            <w:r>
              <w:rPr>
                <w:rStyle w:val="Style14"/>
                <w:sz w:val="22"/>
                <w:szCs w:val="22"/>
              </w:rPr>
              <w:t>Требования к объемам и срокам поставки</w:t>
              <w:tab/>
            </w:r>
          </w:hyperlink>
          <w:r>
            <w:rPr>
              <w:sz w:val="22"/>
              <w:szCs w:val="22"/>
            </w:rPr>
            <w:t>4</w:t>
          </w:r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2"/>
                <w:szCs w:val="22"/>
              </w:rPr>
              <w:t xml:space="preserve">  </w:t>
            </w:r>
            <w:r>
              <w:rPr>
                <w:rStyle w:val="Style14"/>
                <w:sz w:val="22"/>
                <w:szCs w:val="22"/>
              </w:rPr>
              <w:t>Перечень и объем закупаемой продукции</w:t>
              <w:tab/>
            </w:r>
          </w:hyperlink>
          <w:r>
            <w:rPr>
              <w:sz w:val="22"/>
              <w:szCs w:val="22"/>
            </w:rPr>
            <w:t>4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b w:val="false"/>
                <w:bCs w:val="false"/>
                <w:vanish w:val="false"/>
                <w:sz w:val="22"/>
                <w:szCs w:val="22"/>
              </w:rPr>
              <w:t>Таблица 1.1 Перечень и объем закупаемой продукции</w:t>
              <w:tab/>
            </w:r>
          </w:hyperlink>
          <w:r>
            <w:rPr>
              <w:b w:val="false"/>
              <w:bCs w:val="false"/>
              <w:sz w:val="22"/>
              <w:szCs w:val="22"/>
            </w:rPr>
            <w:t>4</w:t>
          </w:r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ind w:hanging="0" w:left="280"/>
            <w:rPr/>
          </w:pPr>
          <w:hyperlink w:anchor="_Toc75446578">
            <w:r>
              <w:rPr>
                <w:webHidden/>
                <w:rStyle w:val="Style14"/>
                <w:vanish w:val="false"/>
                <w:sz w:val="22"/>
                <w:szCs w:val="22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2"/>
                <w:szCs w:val="22"/>
              </w:rPr>
              <w:t xml:space="preserve">   </w:t>
            </w:r>
            <w:r>
              <w:rPr>
                <w:rStyle w:val="Style14"/>
                <w:sz w:val="22"/>
                <w:szCs w:val="22"/>
              </w:rPr>
              <w:t xml:space="preserve">Требования к срокам поставки продукции </w:t>
              <w:tab/>
            </w:r>
          </w:hyperlink>
          <w:r>
            <w:rPr>
              <w:sz w:val="22"/>
              <w:szCs w:val="22"/>
            </w:rPr>
            <w:t>4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b w:val="false"/>
                <w:bCs w:val="false"/>
                <w:vanish w:val="false"/>
                <w:sz w:val="22"/>
                <w:szCs w:val="22"/>
              </w:rPr>
              <w:t>Таблица 2.1 Требования по срокам поставки продукции</w:t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sz w:val="22"/>
              <w:szCs w:val="22"/>
            </w:rPr>
            <w:t>4</w:t>
          </w:r>
        </w:p>
        <w:p>
          <w:pPr>
            <w:pStyle w:val="TOC4"/>
            <w:tabs>
              <w:tab w:val="clear" w:pos="560"/>
              <w:tab w:val="clear" w:pos="709"/>
              <w:tab w:val="left" w:pos="1120" w:leader="none"/>
              <w:tab w:val="right" w:pos="9911" w:leader="dot"/>
            </w:tabs>
            <w:rPr/>
          </w:pPr>
          <w:hyperlink w:anchor="_Toc75446581">
            <w:r>
              <w:rPr>
                <w:webHidden/>
                <w:rStyle w:val="Style14"/>
                <w:iCs/>
                <w:vanish w:val="false"/>
                <w:sz w:val="22"/>
                <w:szCs w:val="22"/>
              </w:rPr>
              <w:t>2.2.</w:t>
            </w:r>
            <w:r>
              <w:rPr>
                <w:rStyle w:val="Style14"/>
                <w:rFonts w:eastAsia="" w:cs="" w:cstheme="minorBidi" w:eastAsiaTheme="minorEastAsia"/>
                <w:iCs/>
                <w:sz w:val="22"/>
                <w:szCs w:val="22"/>
              </w:rPr>
              <w:t xml:space="preserve">      </w:t>
            </w:r>
            <w:r>
              <w:rPr>
                <w:rStyle w:val="Style14"/>
                <w:sz w:val="22"/>
                <w:szCs w:val="22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2"/>
              <w:szCs w:val="22"/>
            </w:rPr>
            <w:t>4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b w:val="false"/>
                <w:bCs w:val="false"/>
                <w:vanish w:val="false"/>
                <w:sz w:val="22"/>
                <w:szCs w:val="22"/>
              </w:rPr>
              <w:t xml:space="preserve">Таблица 3. Требования к </w:t>
            </w:r>
            <w:r>
              <w:rPr>
                <w:rStyle w:val="Style14"/>
                <w:b w:val="false"/>
                <w:bCs w:val="false"/>
                <w:sz w:val="22"/>
                <w:szCs w:val="22"/>
              </w:rPr>
              <w:t>качеству продукции</w:t>
              <w:tab/>
            </w:r>
          </w:hyperlink>
          <w:r>
            <w:rPr>
              <w:rFonts w:eastAsia="" w:cs="" w:cstheme="minorBidi" w:eastAsiaTheme="minorEastAsia"/>
              <w:b w:val="false"/>
              <w:bCs w:val="false"/>
              <w:sz w:val="22"/>
              <w:szCs w:val="22"/>
            </w:rPr>
            <w:t>4</w:t>
          </w:r>
        </w:p>
        <w:p>
          <w:pPr>
            <w:pStyle w:val="Normal"/>
            <w:tabs>
              <w:tab w:val="clear" w:pos="708"/>
              <w:tab w:val="right" w:pos="9911" w:leader="dot"/>
            </w:tabs>
            <w:rPr/>
          </w:pPr>
          <w:r>
            <w:rPr>
              <w:rFonts w:eastAsia="" w:cs="" w:cstheme="minorBidi" w:eastAsiaTheme="minorEastAsia"/>
              <w:sz w:val="22"/>
              <w:szCs w:val="22"/>
            </w:rPr>
            <w:t xml:space="preserve">3. Требования к документации по ценообразованию на этапе закупки…………………………………15      </w:t>
          </w:r>
          <w:r>
            <w:rPr>
              <w:sz w:val="22"/>
              <w:szCs w:val="22"/>
            </w:rPr>
            <w:t xml:space="preserve">   </w:t>
          </w:r>
          <w:r>
            <w:rPr>
              <w:sz w:val="22"/>
              <w:szCs w:val="22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ind w:hanging="0" w:lef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hanging="357" w:left="357"/>
        <w:jc w:val="center"/>
        <w:rPr>
          <w:sz w:val="24"/>
          <w:szCs w:val="24"/>
        </w:rPr>
      </w:pPr>
      <w:bookmarkStart w:id="0" w:name="_Toc75446566"/>
      <w:bookmarkStart w:id="1" w:name="_Toc51339692_Копия_1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Рн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bCs/>
                <w:iCs/>
                <w:color w:val="000000"/>
                <w:sz w:val="24"/>
                <w:szCs w:val="24"/>
              </w:rPr>
              <w:t>Показатель кислотности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>
                <w:color w:val="000000"/>
              </w:rPr>
              <w:t>ТР ТС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rStyle w:val="Strong"/>
                <w:b w:val="false"/>
                <w:iCs/>
                <w:color w:val="000000"/>
                <w:sz w:val="24"/>
                <w:szCs w:val="24"/>
              </w:rPr>
              <w:t>Технический регламент Таможенного союза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4"/>
        <w:spacing w:before="0" w:after="0"/>
        <w:ind w:hanging="0" w:left="0"/>
        <w:rPr/>
      </w:pPr>
      <w:r>
        <w:rPr/>
        <w:t xml:space="preserve">1.2. </w:t>
      </w:r>
      <w:bookmarkStart w:id="4" w:name="_Toc46743506"/>
      <w:bookmarkStart w:id="5" w:name="_Toc126151297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 2: 20.42.15 Поставка средств гигиены для нужд Кубанского филиала.</w:t>
        <w:br/>
      </w:r>
    </w:p>
    <w:p>
      <w:pPr>
        <w:pStyle w:val="Heading4"/>
        <w:spacing w:before="0" w:after="0"/>
        <w:ind w:hanging="0" w:left="0"/>
        <w:rPr/>
      </w:pPr>
      <w:r>
        <w:rPr>
          <w:lang w:val="ru-RU"/>
        </w:rPr>
        <w:t>1.3.</w:t>
      </w:r>
      <w:bookmarkStart w:id="6" w:name="_Toc54646398"/>
      <w:bookmarkStart w:id="7" w:name="_Toc46743507"/>
      <w:r>
        <w:rPr>
          <w:lang w:val="ru-RU"/>
        </w:rPr>
        <w:t xml:space="preserve"> </w:t>
      </w:r>
      <w:bookmarkStart w:id="8" w:name="_Toc126151298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rPr/>
        <w:t xml:space="preserve"> </w:t>
      </w:r>
      <w:bookmarkEnd w:id="6"/>
    </w:p>
    <w:p>
      <w:pPr>
        <w:pStyle w:val="Normal"/>
        <w:tabs>
          <w:tab w:val="clear" w:pos="708"/>
          <w:tab w:val="left" w:pos="0" w:leader="none"/>
          <w:tab w:val="left" w:pos="426" w:leader="none"/>
          <w:tab w:val="left" w:pos="567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Средства</w:t>
      </w:r>
      <w:r>
        <w:rPr>
          <w:sz w:val="24"/>
          <w:szCs w:val="24"/>
          <w:lang w:val="x-none"/>
        </w:rPr>
        <w:t xml:space="preserve"> гигиены</w:t>
      </w:r>
      <w:r>
        <w:rPr>
          <w:sz w:val="24"/>
          <w:szCs w:val="24"/>
        </w:rPr>
        <w:t xml:space="preserve"> закупаются во исполнение приказа Минтруда России (Министерство труда и социальной защиты РФ) от 29 октября 2021 г. №766н "Об утверждении Правил обеспечения работников средствами индивидуальной защиты и смывающими средствами" для </w:t>
      </w:r>
      <w:r>
        <w:rPr>
          <w:bCs/>
          <w:sz w:val="24"/>
          <w:szCs w:val="24"/>
        </w:rPr>
        <w:t xml:space="preserve">обеспечения работников </w:t>
      </w:r>
      <w:r>
        <w:rPr>
          <w:rFonts w:eastAsia="Calibri"/>
          <w:sz w:val="24"/>
          <w:szCs w:val="24"/>
        </w:rPr>
        <w:t>Кубанского филиала АО «Гидроремонт – ВКК» в г. Невинномысск</w:t>
      </w:r>
      <w:r>
        <w:rPr>
          <w:bCs/>
          <w:sz w:val="24"/>
          <w:szCs w:val="24"/>
        </w:rPr>
        <w:t xml:space="preserve"> сертифицированными средствами гигиены от воздействия вредных и опасных производственных факторов, в соответствии с Годовой комплексной программой закупок на 2027 год.</w:t>
      </w:r>
    </w:p>
    <w:p>
      <w:pPr>
        <w:pStyle w:val="Normal"/>
        <w:tabs>
          <w:tab w:val="clear" w:pos="708"/>
          <w:tab w:val="left" w:pos="0" w:leader="none"/>
          <w:tab w:val="left" w:pos="426" w:leader="none"/>
          <w:tab w:val="left" w:pos="567" w:leader="none"/>
        </w:tabs>
        <w:spacing w:before="0" w:after="0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1"/>
        <w:keepLines/>
        <w:ind w:hanging="0" w:left="357"/>
        <w:jc w:val="center"/>
        <w:rPr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bookmarkStart w:id="9" w:name="_Toc75446573"/>
      <w:bookmarkStart w:id="10" w:name="_Toc51339693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>
      <w:pPr>
        <w:pStyle w:val="Heading4"/>
        <w:ind w:hanging="0" w:left="0"/>
        <w:rPr/>
      </w:pPr>
      <w:r>
        <w:rPr/>
        <w:t xml:space="preserve">2.1 </w:t>
      </w: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ind w:hanging="0" w:left="0"/>
        <w:rPr/>
      </w:pPr>
      <w:r>
        <w:rPr>
          <w:lang w:val="ru-RU"/>
        </w:rPr>
        <w:t xml:space="preserve">2.1.1. </w:t>
      </w: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spacing w:before="240" w:after="60"/>
        <w:ind w:hanging="0" w:left="0"/>
        <w:rPr>
          <w:sz w:val="24"/>
          <w:szCs w:val="24"/>
          <w:lang w:val="ru-RU"/>
        </w:rPr>
      </w:pPr>
      <w:bookmarkStart w:id="13" w:name="_Toc75446576"/>
      <w:bookmarkStart w:id="14" w:name="_Toc51339695"/>
      <w:r>
        <w:rPr>
          <w:sz w:val="24"/>
          <w:szCs w:val="24"/>
          <w:lang w:val="ru-RU"/>
        </w:rPr>
        <w:t xml:space="preserve">Таблица 1.1 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100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18"/>
        <w:gridCol w:w="6589"/>
        <w:gridCol w:w="1410"/>
        <w:gridCol w:w="1472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2 500</w:t>
            </w:r>
          </w:p>
        </w:tc>
      </w:tr>
      <w:tr>
        <w:trPr>
          <w:trHeight w:val="505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/>
              <w:t>Мыло жидкое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2 512</w:t>
            </w:r>
          </w:p>
        </w:tc>
      </w:tr>
      <w:tr>
        <w:trPr>
          <w:trHeight w:val="505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/>
              <w:t>Средства для защиты от биологических вредных факторов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1 274</w:t>
            </w:r>
          </w:p>
        </w:tc>
      </w:tr>
      <w:tr>
        <w:trPr>
          <w:trHeight w:val="505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/>
              <w:t>Очищающая паста для рук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2 500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tabs>
          <w:tab w:val="clear" w:pos="0"/>
        </w:tabs>
        <w:spacing w:before="0" w:after="0"/>
        <w:ind w:hanging="0" w:left="0"/>
        <w:rPr/>
      </w:pPr>
      <w:bookmarkStart w:id="15" w:name="_Toc126151307"/>
      <w:bookmarkStart w:id="16" w:name="_Toc51339696"/>
      <w:r>
        <w:rPr>
          <w:lang w:val="ru-RU"/>
        </w:rPr>
        <w:t xml:space="preserve">2.1.2.Требования </w:t>
      </w:r>
      <w:bookmarkEnd w:id="16"/>
      <w:r>
        <w:rPr>
          <w:lang w:val="ru-RU"/>
        </w:rPr>
        <w:t>к срокам поставки продукции</w:t>
      </w:r>
      <w:bookmarkEnd w:id="15"/>
    </w:p>
    <w:p>
      <w:pPr>
        <w:pStyle w:val="Heading1"/>
        <w:tabs>
          <w:tab w:val="clear" w:pos="0"/>
        </w:tabs>
        <w:spacing w:before="0" w:after="0"/>
        <w:ind w:hanging="0" w:left="0"/>
        <w:rPr>
          <w:sz w:val="24"/>
          <w:szCs w:val="24"/>
        </w:rPr>
      </w:pPr>
      <w:bookmarkStart w:id="17" w:name="_Toc126151308"/>
      <w:bookmarkStart w:id="18" w:name="_Toc50125127"/>
      <w:bookmarkStart w:id="19" w:name="_Toc51339697"/>
      <w:bookmarkStart w:id="20" w:name="_Toc124516421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7"/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"/>
        <w:gridCol w:w="2728"/>
        <w:gridCol w:w="2978"/>
        <w:gridCol w:w="353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/>
              </w:rPr>
              <w:t>ОКПД 2: 20.42.15 Поставка средств гигиены для нужд Кубанского филиала.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договора, но не ранее 11.01.2027года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31.12.2027г.*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hanging="0" w:left="0" w:right="0"/>
        <w:jc w:val="both"/>
        <w:rPr>
          <w:lang w:val="ru-RU"/>
        </w:rPr>
      </w:pPr>
      <w:r>
        <w:rPr>
          <w:b w:val="false"/>
          <w:bCs w:val="false"/>
          <w:lang w:val="ru-RU"/>
        </w:rPr>
        <w:t xml:space="preserve"> </w:t>
      </w:r>
      <w:r>
        <w:rPr>
          <w:b w:val="false"/>
          <w:bCs w:val="false"/>
          <w:lang w:val="ru-RU"/>
        </w:rPr>
        <w:t>*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Поставка средств  гигиены будет осуществляться в течение года в соответствие установленными нормами выдачи на Кубанском филиале, утвержденных приказом от 21.07.2026г. № 242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 w:eastAsia="ru-RU"/>
        </w:rPr>
        <w:t>Нормы выдачи СИЗ в Кубанском филиале АО «Гидроремонт-ВКК» в г. Невинномысск</w:t>
      </w:r>
    </w:p>
    <w:p>
      <w:pPr>
        <w:pStyle w:val="Normal"/>
        <w:tabs>
          <w:tab w:val="clear" w:pos="708"/>
        </w:tabs>
        <w:spacing w:before="0" w:after="0"/>
        <w:ind w:hanging="0" w:left="0" w:right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Heading4"/>
        <w:tabs>
          <w:tab w:val="clear" w:pos="0"/>
        </w:tabs>
        <w:spacing w:before="0" w:after="0"/>
        <w:ind w:hanging="0" w:left="0"/>
        <w:rPr/>
      </w:pPr>
      <w:bookmarkStart w:id="24" w:name="_Toc126151309"/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24"/>
    </w:p>
    <w:p>
      <w:pPr>
        <w:pStyle w:val="Heading1"/>
        <w:tabs>
          <w:tab w:val="clear" w:pos="0"/>
        </w:tabs>
        <w:spacing w:before="0" w:after="0"/>
        <w:ind w:hanging="0" w:left="0"/>
        <w:rPr>
          <w:sz w:val="24"/>
          <w:szCs w:val="24"/>
        </w:rPr>
      </w:pPr>
      <w:bookmarkStart w:id="25" w:name="_Toc126151310"/>
      <w:bookmarkStart w:id="26" w:name="_Toc1245164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6"/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sz w:val="24"/>
          <w:szCs w:val="24"/>
        </w:rPr>
        <w:t>Наименование работ/этапа работ: Позиция № 1-4 Таблицы 1.1. Перечень и объем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page" w:horzAnchor="text" w:leftFromText="181" w:rightFromText="181" w:tblpX="108" w:tblpY="1135"/>
        <w:tblW w:w="9579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683"/>
        <w:gridCol w:w="2076"/>
        <w:gridCol w:w="2256"/>
        <w:gridCol w:w="4563"/>
      </w:tblGrid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Крем регенерирующий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контроля первого вскрытия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Объем, мл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1.1.4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Защитные свойства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Регенерирующее (восстанавливающее)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1.1.6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кожи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типов кожи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Восстановление, питание, смягчение, увлажнение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1.1.8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загрязнители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загрязнения</w:t>
            </w:r>
          </w:p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масла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pacing w:lineRule="atLeast" w:line="0"/>
              <w:ind w:hanging="0"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Красители, парабены, силиконы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1.1.10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31460-2012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Мыло жидкое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Флакон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помпой дозатором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Объем, мл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менее 250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1.2.4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Жидкое мыло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кожи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типов кожи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1.2.6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pacing w:lineRule="atLeast" w:line="0"/>
              <w:ind w:hanging="0"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Очищение, смягчение, увлажнение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загрязнители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загрязнения</w:t>
            </w:r>
          </w:p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масла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1.2.8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показатель, Рн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менее- 5,0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-8,5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pacing w:lineRule="atLeast" w:line="0"/>
              <w:ind w:hanging="0" w:lef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Парабены, силиконы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1.2.10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rStyle w:val="Strong2"/>
                <w:b w:val="false"/>
                <w:color w:val="101010"/>
                <w:sz w:val="24"/>
                <w:szCs w:val="24"/>
              </w:rPr>
              <w:t>31696-2012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Средства для  защиты от биологических вредных факторов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Флакон с распылителем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Спрей или аэрозоль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Объем, мл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1.3.4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Отпугивающее насекомых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0"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Отпугивание насекомых, уничтожение насекомых, для ног, для рук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1.3.6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загрязнители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Клещи, комары, мошки, блохи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отпугивания на улице,  при нанесении на открытые части тела и одежду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1.3.8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защитного действия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насекомых при нанесении на кожу, час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клещей при нанесении на одежду, сутки</w:t>
            </w:r>
          </w:p>
        </w:tc>
        <w:tc>
          <w:tcPr>
            <w:tcW w:w="4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1.3.9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rStyle w:val="Strong2"/>
                <w:b w:val="false"/>
                <w:color w:val="101010"/>
                <w:sz w:val="24"/>
                <w:szCs w:val="24"/>
              </w:rPr>
              <w:t>32478-2013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Очищающая паста для рук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контроля первого вскрытия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Объем, мл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менее 200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1.4.4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Паста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Защитные свойства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Очищающая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1.4.6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кожи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типов кожи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ind w:hanging="0" w:left="57"/>
              <w:rPr/>
            </w:pPr>
            <w:r>
              <w:rPr>
                <w:color w:val="000000"/>
                <w:sz w:val="24"/>
                <w:szCs w:val="24"/>
              </w:rPr>
              <w:t>Очистка</w:t>
            </w:r>
            <w:hyperlink r:id="rId2" w:tgtFrame="_blank">
              <w:r>
                <w:rPr>
                  <w:rStyle w:val="1"/>
                  <w:color w:val="000000"/>
                  <w:sz w:val="24"/>
                  <w:szCs w:val="24"/>
                  <w:u w:val="none"/>
                </w:rPr>
                <w:t>, смягчение</w:t>
              </w:r>
            </w:hyperlink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1.4.8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загрязнители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масла,</w:t>
            </w:r>
          </w:p>
          <w:p>
            <w:pPr>
              <w:pStyle w:val="BodyText"/>
              <w:widowControl w:val="false"/>
              <w:spacing w:lineRule="atLeast" w:line="0" w:before="0" w:after="0"/>
              <w:ind w:hanging="0" w:left="60" w:right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нефть и нефтепродукты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Мыла, растворителей, силикона, абразивных средств искусственного происхождения (исключение – полиуретановая мука)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1.4.10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31460-2012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019/2011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>2.1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безопасности продукции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гигиены не должны оказывать вредного воздействия на здоровье пользователя, либо уровни их воздействия не должны превышать установленные  нормы при эксплуатации в условиях, предусмотренных изготовителем.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степени воздействия на организм человека все типы ДСИЗ в соответствии с ГОСТ 12.1.007-76 должны относиться не ниже чем к 4-му классу опасности (вещества малоопасные) при нанесении на кожу.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>2.2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документам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техническом документе на средство должны быть указаны: - класс опасности по ГОСТ 12.1.007-76 и характер воздействия на организм средства и его основных компонентов.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>3.1</w:t>
            </w:r>
          </w:p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материалам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используемые для изготовления средств гигиены, и вещества, которые могут выделяться при их эксплуатации, не должны вызывать у пользователя заболевание и (или) травму.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 средств гигиены должны соответствовать санитарно-гигиеническим требованиям, установленным Техническим Регламентом Таможенного Союза принятым решением комиссии Таможенного Союза от 09.12.2011 № 878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8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гигиены не должны оказывать вредного воздействия на здоровье пользователя, либо уровни их воздействия не должны превышать установленные  нормы при эксплуатации в условиях, предусмотренных изготовителем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4.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документам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Температурный режим транспортирования и хранения должен быть указан в технической документации на средства гигиены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/>
            </w:pPr>
            <w:r>
              <w:rPr/>
              <w:t>5.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 xml:space="preserve"> </w:t>
            </w:r>
            <w:r>
              <w:rPr/>
              <w:t>5.1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Поставка производится на склад Покупателя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357007, Ставропольский край, Кочубеевский р-н, с. Кочубеевское, АВТОДОРОГА «КАВКАЗ» 246КМ+1200М (СПРАВА).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 осуществляется в рабочие дни: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8-00 до 12-00 и с 13-00 до 16-00 часов (по местному времени).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Заказчика предоставляется не позднее 10-00 часов рабочего дня, предшествующего дню поставки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5.2.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 счет средств поставщика</w:t>
            </w:r>
          </w:p>
        </w:tc>
      </w:tr>
      <w:tr>
        <w:trPr>
          <w:trHeight w:val="641" w:hRule="atLeast"/>
        </w:trPr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упаковках (ящиках) должно быть указано наименование и количество продукции.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lineRule="atLeast" w: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не бывшей в употреблении.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Потребительская упаковка должна обеспечивать сохранность продукции в течение срока годности.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 xml:space="preserve">  </w:t>
            </w:r>
            <w:r>
              <w:rPr/>
              <w:t>6.1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Требования к маркировке и эксплуатации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упаковки должна содержать: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и назначение средства гигиенического;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наименование изготовителя и его местонахождение;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массу/объем (мл) номинального содержания средства гигиенического в потребительской упаковке на момент упаковывания;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годности, обозначаемый фразой: "Годен (Использовать) до (месяц, год)" либо "Срок годности... (месяцев, лет)" с указанием даты изготовления средства гигиенического или места на потребительской упаковке, где эта дата указана, или на спайке тюбика;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сведения о способах применения, средства гигиенического, отсутствие которых может привести к неправильному использованию потребителем средства гигиенического, а также информацию о правильном хранении и предостережения;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список ингредиентов;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нормативный или технический (ГОСТ, ТУ) документ, в соответствии с которыми изготовлены</w:t>
            </w:r>
            <w:r>
              <w:rPr>
                <w:sz w:val="24"/>
                <w:szCs w:val="24"/>
                <w:shd w:fill="auto" w:val="clear"/>
              </w:rPr>
              <w:t xml:space="preserve"> г</w:t>
            </w:r>
            <w:r>
              <w:rPr>
                <w:sz w:val="24"/>
                <w:szCs w:val="24"/>
              </w:rPr>
              <w:t>игиенические средства.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>7.1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Гарантия</w:t>
            </w:r>
            <w:bookmarkStart w:id="27" w:name="_GoBack"/>
            <w:bookmarkEnd w:id="27"/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Продукцию устанавливается гарантийный срок, равный не менее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>7.2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567" w:leader="none"/>
              </w:tabs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  <w:t xml:space="preserve"> </w:t>
            </w:r>
            <w:r>
              <w:rPr/>
              <w:t>8.1</w:t>
            </w:r>
          </w:p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предоставить копии (оригиналы) документов, подтверждающих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firstLine="142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ТР ТС 019/2011 «О безопасности средств индивидуальной защиты»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ТР ТС 009/2011 «О безопасности парфюмерно-косметической продукции»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эксплуатации на русском языке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/>
              <w:t>Упаковочный лист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hanging="0" w:left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60" w:after="60"/>
              <w:ind w:hanging="0" w:left="-117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Нормативная документация</w:t>
            </w:r>
          </w:p>
        </w:tc>
        <w:tc>
          <w:tcPr>
            <w:tcW w:w="6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lineRule="atLeast" w:line="0" w:before="0" w:after="0"/>
              <w:ind w:hanging="0" w:left="1224"/>
              <w:rPr>
                <w:sz w:val="24"/>
                <w:szCs w:val="24"/>
              </w:rPr>
            </w:pPr>
            <w:r>
              <w:rPr>
                <w:b w:val="false"/>
                <w:color w:val="1B0D0E"/>
                <w:sz w:val="24"/>
                <w:szCs w:val="24"/>
              </w:rPr>
              <w:t>ГОСТ Р 12.4.301-2018 Система стандартов безопасности труда. Средства индивидуальной защиты дерматологические. Общие технические условия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Style8"/>
          <w:i w:val="false"/>
          <w:i w:val="false"/>
          <w:shd w:fill="auto" w:val="clear"/>
        </w:rPr>
      </w:pPr>
      <w:r>
        <w:rPr>
          <w:i w:val="false"/>
          <w:shd w:fill="auto" w:val="clear"/>
        </w:rPr>
      </w:r>
    </w:p>
    <w:p>
      <w:pPr>
        <w:pStyle w:val="Normal"/>
        <w:rPr>
          <w:b/>
          <w:i/>
          <w:i/>
          <w:iCs/>
          <w:sz w:val="24"/>
          <w:szCs w:val="24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Поставка осуществляется по заявкам, не чаще 1 раза в месяц. </w:t>
      </w:r>
      <w:r>
        <w:rPr>
          <w:rStyle w:val="Style8"/>
          <w:i w:val="false"/>
          <w:sz w:val="24"/>
          <w:szCs w:val="24"/>
          <w:shd w:fill="auto" w:val="clear"/>
        </w:rPr>
        <w:t xml:space="preserve">               </w:t>
      </w:r>
    </w:p>
    <w:p>
      <w:pPr>
        <w:pStyle w:val="Normal"/>
        <w:jc w:val="both"/>
        <w:rPr>
          <w:rStyle w:val="Style8"/>
          <w:i w:val="false"/>
          <w:i w:val="false"/>
          <w:shd w:fill="auto" w:val="clear"/>
        </w:rPr>
      </w:pPr>
      <w:r>
        <w:rPr>
          <w:i w:val="false"/>
          <w:shd w:fill="auto" w:val="clear"/>
        </w:rPr>
      </w:r>
    </w:p>
    <w:p>
      <w:pPr>
        <w:pStyle w:val="Normal"/>
        <w:jc w:val="both"/>
        <w:rPr>
          <w:b/>
          <w:i/>
          <w:i/>
          <w:iCs/>
          <w:sz w:val="24"/>
          <w:szCs w:val="24"/>
        </w:rPr>
      </w:pPr>
      <w:r>
        <w:rPr>
          <w:rStyle w:val="Style8"/>
          <w:i w:val="false"/>
          <w:sz w:val="24"/>
          <w:szCs w:val="24"/>
          <w:shd w:fill="auto" w:val="clear"/>
        </w:rPr>
        <w:t xml:space="preserve">                         </w:t>
      </w:r>
    </w:p>
    <w:p>
      <w:pPr>
        <w:pStyle w:val="ListParagraph"/>
        <w:numPr>
          <w:ilvl w:val="0"/>
          <w:numId w:val="0"/>
        </w:numPr>
        <w:ind w:hanging="0" w:left="567"/>
        <w:jc w:val="both"/>
        <w:rPr/>
      </w:pPr>
      <w:r>
        <w:rPr/>
      </w:r>
    </w:p>
    <w:p>
      <w:pPr>
        <w:pStyle w:val="ListParagraph"/>
        <w:ind w:hanging="0" w:left="717"/>
        <w:jc w:val="both"/>
        <w:rPr>
          <w:b/>
          <w:lang w:eastAsia="x-none"/>
        </w:rPr>
      </w:pPr>
      <w:r>
        <w:rPr>
          <w:b/>
          <w:lang w:eastAsia="x-none"/>
        </w:rPr>
      </w:r>
    </w:p>
    <w:p>
      <w:pPr>
        <w:pStyle w:val="Heading1"/>
        <w:tabs>
          <w:tab w:val="left" w:pos="0" w:leader="none"/>
          <w:tab w:val="left" w:pos="567" w:leader="none"/>
        </w:tabs>
        <w:spacing w:before="0" w:after="0"/>
        <w:ind w:hanging="0" w:left="0"/>
        <w:jc w:val="center"/>
        <w:rPr>
          <w:b w:val="false"/>
          <w:bCs/>
          <w:sz w:val="24"/>
          <w:szCs w:val="24"/>
          <w:lang w:eastAsia="ar-SA"/>
        </w:rPr>
      </w:pPr>
      <w:r>
        <w:rPr>
          <w:b w:val="false"/>
          <w:bCs/>
          <w:sz w:val="24"/>
          <w:szCs w:val="24"/>
          <w:lang w:eastAsia="ar-SA"/>
        </w:rPr>
      </w:r>
    </w:p>
    <w:p>
      <w:pPr>
        <w:pStyle w:val="Normal"/>
        <w:rPr>
          <w:rFonts w:eastAsia="Calibri"/>
          <w:b/>
          <w:iCs/>
          <w:sz w:val="24"/>
          <w:szCs w:val="24"/>
          <w:lang w:eastAsia="x-none"/>
        </w:rPr>
      </w:pPr>
      <w:r>
        <w:rPr>
          <w:rFonts w:eastAsia="Calibri"/>
          <w:b/>
          <w:iCs/>
          <w:sz w:val="24"/>
          <w:szCs w:val="24"/>
          <w:lang w:eastAsia="x-none"/>
        </w:rPr>
      </w:r>
      <w:bookmarkStart w:id="28" w:name="_Ref403012531"/>
      <w:bookmarkStart w:id="29" w:name="_Ref403012531"/>
      <w:bookmarkEnd w:id="29"/>
    </w:p>
    <w:p>
      <w:pPr>
        <w:pStyle w:val="NoSpacing"/>
        <w:spacing w:lineRule="auto" w:line="240"/>
        <w:rPr/>
      </w:pPr>
      <w:r>
        <w:rPr/>
      </w:r>
    </w:p>
    <w:sectPr>
      <w:headerReference w:type="default" r:id="rId3"/>
      <w:type w:val="nextPage"/>
      <w:pgSz w:w="11906" w:h="16838"/>
      <w:pgMar w:left="1134" w:right="67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tabs>
        <w:tab w:val="clear" w:pos="708"/>
        <w:tab w:val="left" w:pos="0" w:leader="none"/>
      </w:tabs>
      <w:spacing w:before="120" w:after="60"/>
      <w:ind w:hanging="504" w:left="122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rong2" w:customStyle="1">
    <w:name w:val="Strong2"/>
    <w:qFormat/>
    <w:rPr>
      <w:b/>
      <w:bCs/>
      <w:lang w:val="ru-RU" w:bidi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64d97"/>
    <w:rPr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5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15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Содержимое списка"/>
    <w:basedOn w:val="Normal"/>
    <w:qFormat/>
    <w:pPr>
      <w:ind w:hanging="0" w:left="567"/>
    </w:pPr>
    <w:rPr/>
  </w:style>
  <w:style w:type="paragraph" w:styleId="Style38" w:customStyle="1">
    <w:name w:val="Заголовок списка"/>
    <w:basedOn w:val="Normal"/>
    <w:next w:val="Style37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ket.yandex.ru/catalog--ukhod-za-rukami/17437173?hid=4852773&amp;glfilter=27141531%3A28714008%2C28713944%2C28713684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BAB2-CED1-40D0-A885-D6547739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Application>AlterOffice/2026.1.0.0$Linux_X86_64 LibreOffice_project/a0185688e0f3f228c7940c57a96eaa0ebba58757</Application>
  <AppVersion>15.0000</AppVersion>
  <Pages>4</Pages>
  <Words>1313</Words>
  <Characters>8805</Characters>
  <CharactersWithSpaces>9925</CharactersWithSpaces>
  <Paragraphs>291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2023-01-13T12:44:00Z</dcterms:created>
  <dc:creator>Быстров Олег Геннадьевич</dc:creator>
  <dc:description/>
  <dc:language>ru-RU</dc:language>
  <cp:lastModifiedBy>zhivchinass@corp.gidroogk.com</cp:lastModifiedBy>
  <cp:lastPrinted>2025-10-13T15:29:52Z</cp:lastPrinted>
  <dcterms:modified xsi:type="dcterms:W3CDTF">2026-05-27T10:17:11Z</dcterms:modified>
  <cp:revision>110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