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tabs>
          <w:tab w:val="clear" w:pos="708"/>
          <w:tab w:val="left" w:pos="426" w:leader="none"/>
        </w:tabs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 w:val="false"/>
          <w:i w:val="false"/>
          <w:iCs w:val="false"/>
          <w:sz w:val="26"/>
          <w:szCs w:val="26"/>
        </w:rPr>
      </w:pPr>
      <w:r>
        <w:rPr>
          <w:rFonts w:eastAsia="Calibri"/>
          <w:b/>
          <w:i w:val="false"/>
          <w:iCs w:val="false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 w:val="false"/>
          <w:i w:val="false"/>
          <w:iCs w:val="false"/>
          <w:sz w:val="26"/>
          <w:szCs w:val="26"/>
        </w:rPr>
      </w:pPr>
      <w:r>
        <w:rPr>
          <w:rFonts w:eastAsia="Calibri"/>
          <w:b/>
          <w:i w:val="false"/>
          <w:iCs w:val="false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 w:val="false"/>
          <w:i w:val="false"/>
          <w:iCs w:val="false"/>
          <w:sz w:val="26"/>
          <w:szCs w:val="26"/>
        </w:rPr>
      </w:pPr>
      <w:r>
        <w:rPr>
          <w:rFonts w:eastAsia="Calibri"/>
          <w:b/>
          <w:i w:val="false"/>
          <w:iCs w:val="false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 w:val="false"/>
          <w:i w:val="false"/>
          <w:iCs w:val="false"/>
          <w:sz w:val="26"/>
          <w:szCs w:val="26"/>
        </w:rPr>
      </w:pPr>
      <w:r>
        <w:rPr>
          <w:rFonts w:eastAsia="Calibri"/>
          <w:b/>
          <w:i w:val="false"/>
          <w:iCs w:val="false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 w:val="false"/>
          <w:i w:val="false"/>
          <w:iCs w:val="false"/>
          <w:sz w:val="26"/>
          <w:szCs w:val="26"/>
        </w:rPr>
      </w:pPr>
      <w:r>
        <w:rPr>
          <w:rFonts w:eastAsia="Calibri"/>
          <w:b/>
          <w:i w:val="false"/>
          <w:iCs w:val="false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 w:val="false"/>
          <w:i w:val="false"/>
          <w:iCs w:val="false"/>
          <w:sz w:val="26"/>
          <w:szCs w:val="26"/>
        </w:rPr>
      </w:pPr>
      <w:r>
        <w:rPr>
          <w:rFonts w:eastAsia="Calibri"/>
          <w:b/>
          <w:i w:val="false"/>
          <w:iCs w:val="false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 w:val="false"/>
          <w:i w:val="false"/>
          <w:iCs w:val="false"/>
          <w:sz w:val="26"/>
          <w:szCs w:val="26"/>
        </w:rPr>
      </w:pPr>
      <w:r>
        <w:rPr>
          <w:rFonts w:eastAsia="Calibri"/>
          <w:b/>
          <w:i w:val="false"/>
          <w:iCs w:val="false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 w:val="false"/>
          <w:i w:val="false"/>
          <w:iCs w:val="false"/>
          <w:sz w:val="26"/>
          <w:szCs w:val="26"/>
        </w:rPr>
      </w:pPr>
      <w:r>
        <w:rPr>
          <w:rFonts w:eastAsia="Calibri"/>
          <w:b/>
          <w:i w:val="false"/>
          <w:iCs w:val="false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 w:val="false"/>
          <w:i w:val="false"/>
          <w:iCs w:val="false"/>
          <w:sz w:val="26"/>
          <w:szCs w:val="26"/>
        </w:rPr>
      </w:pPr>
      <w:r>
        <w:rPr>
          <w:rFonts w:eastAsia="Calibri"/>
          <w:b/>
          <w:i w:val="false"/>
          <w:iCs w:val="false"/>
          <w:sz w:val="26"/>
          <w:szCs w:val="26"/>
        </w:rPr>
        <w:t>ТЕХНИЧЕСКИЕ ТРЕБОВАНИЯ</w:t>
      </w:r>
    </w:p>
    <w:p>
      <w:pPr>
        <w:pStyle w:val="Normal"/>
        <w:keepNext w:val="true"/>
        <w:keepLines/>
        <w:jc w:val="center"/>
        <w:rPr>
          <w:rFonts w:eastAsia="Calibri"/>
          <w:b/>
          <w:i w:val="false"/>
          <w:i w:val="false"/>
          <w:iCs w:val="false"/>
          <w:sz w:val="26"/>
          <w:szCs w:val="26"/>
        </w:rPr>
      </w:pPr>
      <w:r>
        <w:rPr>
          <w:rFonts w:eastAsia="Calibri"/>
          <w:b/>
          <w:i w:val="false"/>
          <w:iCs w:val="false"/>
          <w:sz w:val="26"/>
          <w:szCs w:val="26"/>
        </w:rPr>
        <w:t>ОКПД2 62.02.3.004 Оказание услуг по предоставлению доступа к Информационно-аналитической системе обеспечения безопасности СФИНКС</w:t>
      </w:r>
    </w:p>
    <w:p>
      <w:pPr>
        <w:pStyle w:val="Normal"/>
        <w:keepNext w:val="true"/>
        <w:keepLines/>
        <w:jc w:val="center"/>
        <w:rPr>
          <w:rFonts w:eastAsia="Calibri"/>
          <w:b/>
          <w:i w:val="false"/>
          <w:i w:val="false"/>
          <w:iCs w:val="false"/>
          <w:sz w:val="26"/>
          <w:szCs w:val="26"/>
        </w:rPr>
      </w:pPr>
      <w:r>
        <w:rPr>
          <w:rFonts w:eastAsia="Calibri"/>
          <w:b/>
          <w:i w:val="false"/>
          <w:iCs w:val="false"/>
          <w:sz w:val="26"/>
          <w:szCs w:val="26"/>
        </w:rPr>
        <w:t>(Лот №000</w:t>
      </w:r>
      <w:r>
        <w:rPr>
          <w:rFonts w:eastAsia="Calibri"/>
          <w:b/>
          <w:i w:val="false"/>
          <w:iCs w:val="false"/>
          <w:sz w:val="26"/>
          <w:szCs w:val="26"/>
        </w:rPr>
        <w:t>1</w:t>
      </w:r>
      <w:r>
        <w:rPr>
          <w:rFonts w:eastAsia="Calibri"/>
          <w:b/>
          <w:i w:val="false"/>
          <w:iCs w:val="false"/>
          <w:sz w:val="26"/>
          <w:szCs w:val="26"/>
        </w:rPr>
        <w:t>-ЭКСП ДИТ-202</w:t>
      </w:r>
      <w:r>
        <w:rPr>
          <w:rFonts w:eastAsia="Calibri"/>
          <w:b/>
          <w:i w:val="false"/>
          <w:iCs w:val="false"/>
          <w:sz w:val="26"/>
          <w:szCs w:val="26"/>
        </w:rPr>
        <w:t>7</w:t>
      </w:r>
      <w:r>
        <w:rPr>
          <w:rFonts w:eastAsia="Calibri"/>
          <w:b/>
          <w:i w:val="false"/>
          <w:iCs w:val="false"/>
          <w:sz w:val="26"/>
          <w:szCs w:val="26"/>
        </w:rPr>
        <w:t>-ГРВКК)</w:t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pacing w:lineRule="auto" w:line="360"/>
        <w:jc w:val="center"/>
        <w:rPr>
          <w:i w:val="false"/>
          <w:i w:val="false"/>
          <w:iCs w:val="false"/>
        </w:rPr>
      </w:pPr>
      <w:r>
        <w:rPr/>
      </w:r>
      <w:r>
        <w:br w:type="page"/>
      </w:r>
    </w:p>
    <w:p>
      <w:pPr>
        <w:pStyle w:val="Normal"/>
        <w:jc w:val="center"/>
        <w:rPr>
          <w:b/>
          <w:i w:val="false"/>
          <w:i w:val="false"/>
          <w:iCs w:val="false"/>
        </w:rPr>
      </w:pPr>
      <w:r>
        <w:rPr>
          <w:b/>
          <w:i w:val="false"/>
          <w:iCs w:val="false"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r>
            <w:fldChar w:fldCharType="begin"/>
          </w:r>
          <w:r>
            <w:rPr>
              <w:rStyle w:val="Style14"/>
            </w:rPr>
            <w:instrText xml:space="preserve"> TOC \o "1-4" \h</w:instrText>
          </w:r>
          <w:r>
            <w:rPr>
              <w:rStyle w:val="Style14"/>
            </w:rPr>
            <w:fldChar w:fldCharType="separate"/>
          </w:r>
          <w:hyperlink w:anchor="__RefHeading___Toc1935_3769077239">
            <w:r>
              <w:rPr>
                <w:rStyle w:val="Style14"/>
              </w:rPr>
              <w:t xml:space="preserve">1. </w:t>
            </w:r>
            <w:r>
              <w:rPr>
                <w:rStyle w:val="Style14"/>
                <w:i w:val="false"/>
                <w:iCs w:val="false"/>
              </w:rPr>
              <w:t>Общие сведения</w:t>
            </w:r>
            <w:r>
              <w:rPr>
                <w:rStyle w:val="Style14"/>
              </w:rPr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1937_3769077239">
            <w:r>
              <w:rPr>
                <w:rStyle w:val="Style14"/>
              </w:rPr>
              <w:t xml:space="preserve">1.1. </w:t>
            </w:r>
            <w:r>
              <w:rPr>
                <w:rStyle w:val="Style14"/>
                <w:i w:val="false"/>
                <w:iCs w:val="false"/>
              </w:rPr>
              <w:t>Наименование закупаемой услуги</w:t>
            </w:r>
            <w:r>
              <w:rPr>
                <w:rStyle w:val="Style14"/>
              </w:rPr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1939_3769077239">
            <w:r>
              <w:rPr>
                <w:rStyle w:val="Style14"/>
              </w:rPr>
              <w:t xml:space="preserve">1.2. </w:t>
            </w:r>
            <w:r>
              <w:rPr>
                <w:rStyle w:val="Style14"/>
                <w:i w:val="false"/>
                <w:iCs w:val="false"/>
              </w:rPr>
              <w:t>Цель оказания услуги</w:t>
            </w:r>
            <w:r>
              <w:rPr>
                <w:rStyle w:val="Style14"/>
              </w:rPr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1941_3769077239">
            <w:r>
              <w:rPr>
                <w:rStyle w:val="Style14"/>
              </w:rPr>
              <w:t xml:space="preserve">1.3. </w:t>
            </w:r>
            <w:r>
              <w:rPr>
                <w:rStyle w:val="Style14"/>
                <w:i w:val="false"/>
                <w:iCs w:val="false"/>
              </w:rPr>
              <w:t>Существующее положение</w:t>
            </w:r>
            <w:r>
              <w:rPr>
                <w:rStyle w:val="Style14"/>
              </w:rPr>
              <w:tab/>
              <w:t>3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22410_3907880893">
            <w:r>
              <w:rPr>
                <w:rStyle w:val="Style14"/>
              </w:rPr>
              <w:t xml:space="preserve">2. </w:t>
            </w:r>
            <w:r>
              <w:rPr>
                <w:rStyle w:val="Style14"/>
                <w:i w:val="false"/>
                <w:iCs w:val="false"/>
              </w:rPr>
              <w:t>Требования к закупаемой услуге</w:t>
            </w:r>
            <w:r>
              <w:rPr>
                <w:rStyle w:val="Style14"/>
              </w:rPr>
              <w:tab/>
              <w:t>3</w:t>
            </w:r>
          </w:hyperlink>
        </w:p>
        <w:p>
          <w:pPr>
            <w:pStyle w:val="TOC2"/>
            <w:tabs>
              <w:tab w:val="clear" w:pos="708"/>
              <w:tab w:val="right" w:pos="9921" w:leader="dot"/>
            </w:tabs>
            <w:rPr/>
          </w:pPr>
          <w:hyperlink w:anchor="__RefHeading___Toc22412_3907880893">
            <w:r>
              <w:rPr>
                <w:rStyle w:val="Style14"/>
              </w:rPr>
              <w:t xml:space="preserve">2.1. </w:t>
            </w:r>
            <w:r>
              <w:rPr>
                <w:rStyle w:val="Style14"/>
                <w:i w:val="false"/>
                <w:iCs w:val="false"/>
              </w:rPr>
              <w:t>Требования к объемам и срокам оказания услуг</w:t>
            </w:r>
            <w:r>
              <w:rPr>
                <w:rStyle w:val="Style14"/>
              </w:rPr>
              <w:tab/>
              <w:t>3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1947_3769077239">
            <w:r>
              <w:rPr>
                <w:rStyle w:val="Style14"/>
              </w:rPr>
              <w:t xml:space="preserve">2.1.1. </w:t>
            </w:r>
            <w:r>
              <w:rPr>
                <w:rStyle w:val="Style14"/>
                <w:i w:val="false"/>
                <w:iCs w:val="false"/>
              </w:rPr>
              <w:t>Требования к перечню и объему услуг</w:t>
            </w:r>
            <w:r>
              <w:rPr>
                <w:rStyle w:val="Style14"/>
              </w:rPr>
              <w:tab/>
              <w:t>3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22406_3907880893">
            <w:r>
              <w:rPr>
                <w:rStyle w:val="Style14"/>
                <w:i w:val="false"/>
                <w:iCs w:val="false"/>
              </w:rPr>
              <w:t>Таблица</w:t>
            </w:r>
            <w:r>
              <w:rPr>
                <w:rStyle w:val="Style14"/>
              </w:rPr>
              <w:t xml:space="preserve"> 1. Перечень и объём оказываемых услуг</w:t>
              <w:tab/>
              <w:t>3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1949_3769077239_%D0%9A%D0%BE%D0%BF%D0%B8%D1%8F_">
            <w:r>
              <w:rPr>
                <w:rStyle w:val="Style14"/>
              </w:rPr>
              <w:t xml:space="preserve">2.1.2. </w:t>
            </w:r>
            <w:r>
              <w:rPr>
                <w:rStyle w:val="Style14"/>
                <w:i w:val="false"/>
                <w:iCs w:val="false"/>
              </w:rPr>
              <w:t>Требования к срокам оказания услуг</w:t>
            </w:r>
            <w:r>
              <w:rPr>
                <w:rStyle w:val="Style14"/>
              </w:rPr>
              <w:tab/>
              <w:t>3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1951_3769077239_%D0%9A%D0%BE%D0%BF%D0%B8%D1%8F_">
            <w:r>
              <w:rPr>
                <w:rStyle w:val="Style14"/>
                <w:i w:val="false"/>
                <w:iCs w:val="false"/>
              </w:rPr>
              <w:t>Таблица 2. Требования по срокам оказания услуг</w:t>
            </w:r>
            <w:r>
              <w:rPr>
                <w:rStyle w:val="Style14"/>
              </w:rPr>
              <w:tab/>
              <w:t>3</w:t>
            </w:r>
          </w:hyperlink>
        </w:p>
        <w:p>
          <w:pPr>
            <w:pStyle w:val="TOC2"/>
            <w:tabs>
              <w:tab w:val="clear" w:pos="708"/>
              <w:tab w:val="right" w:pos="9921" w:leader="dot"/>
            </w:tabs>
            <w:rPr/>
          </w:pPr>
          <w:hyperlink w:anchor="__RefHeading___Toc1953_3769077239">
            <w:r>
              <w:rPr>
                <w:rStyle w:val="Style14"/>
              </w:rPr>
              <w:t xml:space="preserve">2.2. </w:t>
            </w:r>
            <w:r>
              <w:rPr>
                <w:rStyle w:val="Style14"/>
                <w:i w:val="false"/>
                <w:iCs w:val="false"/>
              </w:rPr>
              <w:t>Требования к качеству оказываемых услуг</w:t>
            </w:r>
            <w:r>
              <w:rPr>
                <w:rStyle w:val="Style14"/>
              </w:rPr>
              <w:tab/>
              <w:t>4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1955_3769077239">
            <w:r>
              <w:rPr>
                <w:rStyle w:val="Style14"/>
                <w:i w:val="false"/>
                <w:iCs w:val="false"/>
              </w:rPr>
              <w:t>Таблица 3. Требования к услуге</w:t>
            </w:r>
            <w:r>
              <w:rPr>
                <w:rStyle w:val="Style14"/>
              </w:rPr>
              <w:tab/>
              <w:t>4</w:t>
            </w:r>
          </w:hyperlink>
          <w:r>
            <w:rPr>
              <w:rStyle w:val="Style14"/>
            </w:rPr>
            <w:fldChar w:fldCharType="end"/>
          </w:r>
        </w:p>
      </w:sdtContent>
    </w:sdt>
    <w:p>
      <w:pPr>
        <w:pStyle w:val="Heading2"/>
        <w:numPr>
          <w:ilvl w:val="0"/>
        </w:numPr>
        <w:tabs>
          <w:tab w:val="clear" w:pos="0"/>
          <w:tab w:val="left" w:pos="560" w:leader="none"/>
        </w:tabs>
        <w:ind w:hanging="0" w:left="0" w:right="0"/>
        <w:rPr>
          <w:b w:val="false"/>
          <w:i w:val="false"/>
          <w:i w:val="false"/>
          <w:iCs w:val="false"/>
        </w:rPr>
      </w:pPr>
      <w:r>
        <w:rPr>
          <w:b w:val="false"/>
          <w:i w:val="false"/>
          <w:iCs w:val="false"/>
        </w:rPr>
      </w:r>
      <w:r>
        <w:br w:type="page"/>
      </w:r>
    </w:p>
    <w:p>
      <w:pPr>
        <w:pStyle w:val="Heading1"/>
        <w:numPr>
          <w:ilvl w:val="0"/>
          <w:numId w:val="3"/>
        </w:numPr>
        <w:ind w:hanging="426" w:left="284" w:right="0"/>
        <w:jc w:val="center"/>
        <w:rPr>
          <w:i w:val="false"/>
          <w:i w:val="false"/>
          <w:iCs w:val="false"/>
        </w:rPr>
      </w:pPr>
      <w:bookmarkStart w:id="0" w:name="__RefHeading___Toc1935_3769077239"/>
      <w:bookmarkStart w:id="1" w:name="_Toc143536500"/>
      <w:bookmarkStart w:id="2" w:name="_Toc51339692"/>
      <w:bookmarkEnd w:id="0"/>
      <w:r>
        <w:rPr>
          <w:i w:val="false"/>
          <w:iCs w:val="false"/>
        </w:rPr>
        <w:t>Общие сведения</w:t>
      </w:r>
      <w:bookmarkEnd w:id="1"/>
      <w:bookmarkEnd w:id="2"/>
    </w:p>
    <w:p>
      <w:pPr>
        <w:pStyle w:val="Heading4"/>
        <w:numPr>
          <w:ilvl w:val="1"/>
          <w:numId w:val="3"/>
        </w:numPr>
        <w:ind w:hanging="426" w:left="426" w:right="0"/>
        <w:rPr>
          <w:i w:val="false"/>
          <w:i w:val="false"/>
          <w:iCs w:val="false"/>
        </w:rPr>
      </w:pPr>
      <w:bookmarkStart w:id="3" w:name="__RefHeading___Toc1937_3769077239"/>
      <w:bookmarkStart w:id="4" w:name="_Toc143536501"/>
      <w:bookmarkStart w:id="5" w:name="_Toc46743506"/>
      <w:bookmarkEnd w:id="3"/>
      <w:r>
        <w:rPr>
          <w:i w:val="false"/>
          <w:iCs w:val="false"/>
        </w:rPr>
        <w:t xml:space="preserve">Наименование закупаемой </w:t>
      </w:r>
      <w:bookmarkEnd w:id="4"/>
      <w:bookmarkEnd w:id="5"/>
      <w:r>
        <w:rPr>
          <w:i w:val="false"/>
          <w:iCs w:val="false"/>
          <w:lang w:val="ru-RU"/>
        </w:rPr>
        <w:t>услуги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240"/>
        <w:ind w:firstLine="426" w:left="0" w:right="0"/>
        <w:jc w:val="both"/>
        <w:rPr>
          <w:i w:val="false"/>
          <w:i w:val="false"/>
          <w:iCs w:val="false"/>
          <w:sz w:val="24"/>
          <w:szCs w:val="24"/>
        </w:rPr>
      </w:pPr>
      <w:r>
        <w:rPr>
          <w:i w:val="false"/>
          <w:iCs w:val="false"/>
          <w:sz w:val="24"/>
          <w:szCs w:val="24"/>
        </w:rPr>
        <w:t>ОКПД2 62.02.3.004 Оказание услуг по предоставлению доступа к Информационно-аналитической системе обеспечения безопасности СФИНКС.</w:t>
      </w:r>
    </w:p>
    <w:p>
      <w:pPr>
        <w:pStyle w:val="Heading4"/>
        <w:numPr>
          <w:ilvl w:val="1"/>
          <w:numId w:val="3"/>
        </w:numPr>
        <w:ind w:hanging="426" w:left="426" w:right="0"/>
        <w:rPr>
          <w:i w:val="false"/>
          <w:i w:val="false"/>
          <w:iCs w:val="false"/>
        </w:rPr>
      </w:pPr>
      <w:bookmarkStart w:id="6" w:name="__RefHeading___Toc1939_3769077239"/>
      <w:bookmarkStart w:id="7" w:name="_Toc143536502"/>
      <w:bookmarkStart w:id="8" w:name="_Toc46743507"/>
      <w:bookmarkEnd w:id="6"/>
      <w:r>
        <w:rPr>
          <w:i w:val="false"/>
          <w:iCs w:val="false"/>
        </w:rPr>
        <w:t xml:space="preserve">Цель </w:t>
      </w:r>
      <w:bookmarkEnd w:id="8"/>
      <w:r>
        <w:rPr>
          <w:i w:val="false"/>
          <w:iCs w:val="false"/>
        </w:rPr>
        <w:t xml:space="preserve">оказания </w:t>
      </w:r>
      <w:bookmarkEnd w:id="7"/>
      <w:r>
        <w:rPr>
          <w:i w:val="false"/>
          <w:iCs w:val="false"/>
          <w:lang w:val="ru-RU"/>
        </w:rPr>
        <w:t>услуги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240"/>
        <w:ind w:firstLine="426" w:left="0" w:right="0"/>
        <w:jc w:val="both"/>
        <w:rPr>
          <w:i w:val="false"/>
          <w:i w:val="false"/>
          <w:iCs w:val="false"/>
          <w:sz w:val="24"/>
          <w:szCs w:val="24"/>
        </w:rPr>
      </w:pPr>
      <w:r>
        <w:rPr>
          <w:i w:val="false"/>
          <w:iCs w:val="false"/>
          <w:sz w:val="24"/>
          <w:szCs w:val="24"/>
        </w:rPr>
        <w:t xml:space="preserve">Целью оказания услуг является предоставление доступа к Информационно-аналитической системе обеспечения безопасности СФИНКС. </w:t>
      </w:r>
    </w:p>
    <w:p>
      <w:pPr>
        <w:pStyle w:val="Heading4"/>
        <w:numPr>
          <w:ilvl w:val="1"/>
          <w:numId w:val="3"/>
        </w:numPr>
        <w:ind w:hanging="426" w:left="426" w:right="0"/>
        <w:rPr>
          <w:i w:val="false"/>
          <w:i w:val="false"/>
          <w:iCs w:val="false"/>
        </w:rPr>
      </w:pPr>
      <w:bookmarkStart w:id="9" w:name="__RefHeading___Toc1941_3769077239"/>
      <w:bookmarkStart w:id="10" w:name="_Toc143536503"/>
      <w:bookmarkStart w:id="11" w:name="_Toc46743508"/>
      <w:bookmarkEnd w:id="9"/>
      <w:r>
        <w:rPr>
          <w:i w:val="false"/>
          <w:iCs w:val="false"/>
        </w:rPr>
        <w:t>Существующее положение</w:t>
      </w:r>
      <w:bookmarkEnd w:id="10"/>
      <w:bookmarkEnd w:id="11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240"/>
        <w:ind w:firstLine="426" w:left="0" w:right="0"/>
        <w:jc w:val="both"/>
        <w:rPr>
          <w:i w:val="false"/>
          <w:i w:val="false"/>
          <w:iCs w:val="false"/>
        </w:rPr>
      </w:pPr>
      <w:r>
        <w:rPr>
          <w:i w:val="false"/>
          <w:iCs w:val="false"/>
          <w:color w:val="000000"/>
          <w:sz w:val="24"/>
          <w:szCs w:val="24"/>
        </w:rPr>
        <w:t>Имеется единая корпоративная система по проверке сведений о юридических и физических лицах СФИНКС в группе РусГидро.</w:t>
      </w:r>
    </w:p>
    <w:p>
      <w:pPr>
        <w:pStyle w:val="Heading1"/>
        <w:numPr>
          <w:ilvl w:val="0"/>
          <w:numId w:val="3"/>
        </w:numPr>
        <w:ind w:hanging="426" w:left="284" w:right="0"/>
        <w:jc w:val="center"/>
        <w:rPr>
          <w:i w:val="false"/>
          <w:i w:val="false"/>
          <w:iCs w:val="false"/>
        </w:rPr>
      </w:pPr>
      <w:bookmarkStart w:id="12" w:name="__RefHeading___Toc22410_3907880893"/>
      <w:bookmarkStart w:id="13" w:name="_Toc51339693"/>
      <w:bookmarkStart w:id="14" w:name="_Toc143536504"/>
      <w:bookmarkStart w:id="15" w:name="_Toc467435091"/>
      <w:bookmarkStart w:id="16" w:name="_Hlk498576041"/>
      <w:bookmarkStart w:id="17" w:name="_Toc50125126"/>
      <w:bookmarkEnd w:id="12"/>
      <w:bookmarkEnd w:id="15"/>
      <w:bookmarkEnd w:id="16"/>
      <w:bookmarkEnd w:id="17"/>
      <w:r>
        <w:rPr>
          <w:i w:val="false"/>
          <w:iCs w:val="false"/>
        </w:rPr>
        <w:t xml:space="preserve">Требования к </w:t>
      </w:r>
      <w:bookmarkEnd w:id="13"/>
      <w:bookmarkEnd w:id="14"/>
      <w:r>
        <w:rPr>
          <w:i w:val="false"/>
          <w:iCs w:val="false"/>
          <w:lang w:val="ru-RU"/>
        </w:rPr>
        <w:t>закупаемой услуге</w:t>
      </w:r>
    </w:p>
    <w:p>
      <w:pPr>
        <w:pStyle w:val="Heading2"/>
        <w:numPr>
          <w:ilvl w:val="1"/>
          <w:numId w:val="8"/>
        </w:numPr>
        <w:ind w:hanging="360" w:left="720" w:right="0"/>
        <w:rPr>
          <w:i w:val="false"/>
          <w:i w:val="false"/>
          <w:iCs w:val="false"/>
        </w:rPr>
      </w:pPr>
      <w:bookmarkStart w:id="18" w:name="__RefHeading___Toc22412_3907880893"/>
      <w:bookmarkStart w:id="19" w:name="_Toc143536505"/>
      <w:bookmarkEnd w:id="18"/>
      <w:r>
        <w:rPr>
          <w:i w:val="false"/>
          <w:iCs w:val="false"/>
        </w:rPr>
        <w:t xml:space="preserve">Требования к объемам и срокам </w:t>
      </w:r>
      <w:bookmarkEnd w:id="19"/>
      <w:r>
        <w:rPr>
          <w:i w:val="false"/>
          <w:iCs w:val="false"/>
          <w:lang w:val="ru-RU"/>
        </w:rPr>
        <w:t>оказания услуг</w:t>
      </w:r>
    </w:p>
    <w:p>
      <w:pPr>
        <w:pStyle w:val="Heading3"/>
        <w:numPr>
          <w:ilvl w:val="2"/>
          <w:numId w:val="3"/>
        </w:numPr>
        <w:ind w:hanging="426" w:left="426" w:right="0"/>
        <w:rPr>
          <w:i w:val="false"/>
          <w:i w:val="false"/>
          <w:iCs w:val="false"/>
        </w:rPr>
      </w:pPr>
      <w:bookmarkStart w:id="20" w:name="__RefHeading___Toc1947_3769077239"/>
      <w:bookmarkEnd w:id="20"/>
      <w:r>
        <w:rPr>
          <w:i w:val="false"/>
          <w:iCs w:val="false"/>
        </w:rPr>
        <w:t>Требования</w:t>
      </w:r>
      <w:bookmarkStart w:id="21" w:name="_Toc143536506"/>
      <w:r>
        <w:rPr>
          <w:i w:val="false"/>
          <w:iCs w:val="false"/>
        </w:rPr>
        <w:t xml:space="preserve"> к перечню и объему </w:t>
      </w:r>
      <w:bookmarkEnd w:id="21"/>
      <w:r>
        <w:rPr>
          <w:i w:val="false"/>
          <w:iCs w:val="false"/>
        </w:rPr>
        <w:t>услуг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ind w:firstLine="425" w:left="0" w:right="0"/>
        <w:jc w:val="both"/>
        <w:rPr/>
      </w:pPr>
      <w:r>
        <w:rPr/>
      </w:r>
    </w:p>
    <w:p>
      <w:pPr>
        <w:pStyle w:val="Heading3"/>
        <w:numPr>
          <w:ilvl w:val="0"/>
        </w:numPr>
        <w:ind w:hanging="426" w:left="426" w:right="0"/>
        <w:rPr/>
      </w:pPr>
      <w:bookmarkStart w:id="22" w:name="__RefHeading___Toc22406_3907880893"/>
      <w:bookmarkEnd w:id="22"/>
      <w:r>
        <w:rPr>
          <w:rFonts w:eastAsia="Calibri" w:cs="Times New Roman"/>
          <w:b/>
          <w:i w:val="false"/>
          <w:iCs w:val="false"/>
          <w:color w:val="auto"/>
          <w:kern w:val="0"/>
          <w:lang w:val="x-none" w:eastAsia="x-none" w:bidi="ar-SA"/>
        </w:rPr>
        <w:t>Таблица</w:t>
      </w:r>
      <w:r>
        <w:rPr>
          <w:rFonts w:eastAsia="Calibri"/>
          <w:b/>
          <w:lang w:val="x-none" w:eastAsia="x-none"/>
        </w:rPr>
        <w:t xml:space="preserve"> 1. Перечень и объём оказываемых услуг</w:t>
      </w:r>
    </w:p>
    <w:tbl>
      <w:tblPr>
        <w:tblW w:w="963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0"/>
        <w:gridCol w:w="4763"/>
        <w:gridCol w:w="1750"/>
        <w:gridCol w:w="1874"/>
      </w:tblGrid>
      <w:tr>
        <w:trPr/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Кол-во</w:t>
            </w:r>
          </w:p>
        </w:tc>
      </w:tr>
      <w:tr>
        <w:trPr/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0"/>
              <w:keepNext w:val="false"/>
              <w:widowControl w:val="fals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0"/>
              <w:keepNext w:val="false"/>
              <w:widowControl w:val="fals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ind w:hanging="360" w:left="360" w:right="0"/>
              <w:jc w:val="center"/>
              <w:rPr/>
            </w:pPr>
            <w:r>
              <w:rPr/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120" w:after="240"/>
              <w:ind w:hanging="0" w:left="0" w:right="0"/>
              <w:jc w:val="both"/>
              <w:rPr>
                <w:rFonts w:eastAsia="Times New Roman" w:cs="Times New Roman"/>
                <w:bCs/>
                <w:i w:val="false"/>
                <w:i w:val="false"/>
                <w:iCs w:val="false"/>
                <w:sz w:val="24"/>
                <w:szCs w:val="24"/>
                <w:lang w:eastAsia="x-none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sz w:val="24"/>
                <w:szCs w:val="24"/>
                <w:lang w:eastAsia="x-none"/>
              </w:rPr>
              <w:t>ОКПД2 62.02.3.004 Оказание услуг по предоставлению доступа к Информационно-аналитической системе обеспечения безопасности СФИНКС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Условная единица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bookmarkStart w:id="23" w:name="_Toc46743510_Копия_1"/>
            <w:r>
              <w:rPr>
                <w:sz w:val="24"/>
                <w:szCs w:val="24"/>
              </w:rPr>
              <w:t>1</w:t>
            </w:r>
            <w:bookmarkEnd w:id="23"/>
          </w:p>
        </w:tc>
      </w:tr>
    </w:tbl>
    <w:p>
      <w:pPr>
        <w:pStyle w:val="Heading3"/>
        <w:numPr>
          <w:ilvl w:val="0"/>
        </w:numPr>
        <w:ind w:hanging="426" w:left="426" w:right="0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Heading3"/>
        <w:numPr>
          <w:ilvl w:val="2"/>
          <w:numId w:val="3"/>
        </w:numPr>
        <w:ind w:hanging="426" w:left="426" w:right="0"/>
        <w:rPr>
          <w:i w:val="false"/>
          <w:i w:val="false"/>
          <w:iCs w:val="false"/>
        </w:rPr>
      </w:pPr>
      <w:bookmarkStart w:id="24" w:name="__RefHeading___Toc1949_3769077239_Копия_"/>
      <w:bookmarkStart w:id="25" w:name="_Toc143536507_Копия_1"/>
      <w:bookmarkStart w:id="26" w:name="_Toc51339696_Копия_1"/>
      <w:bookmarkEnd w:id="24"/>
      <w:r>
        <w:rPr>
          <w:i w:val="false"/>
          <w:iCs w:val="false"/>
        </w:rPr>
        <w:t xml:space="preserve">Требования </w:t>
      </w:r>
      <w:bookmarkEnd w:id="26"/>
      <w:r>
        <w:rPr>
          <w:i w:val="false"/>
          <w:iCs w:val="false"/>
        </w:rPr>
        <w:t>к срокам оказания услуг</w:t>
      </w:r>
      <w:bookmarkEnd w:id="25"/>
    </w:p>
    <w:p>
      <w:pPr>
        <w:pStyle w:val="Heading3"/>
        <w:numPr>
          <w:ilvl w:val="0"/>
        </w:numPr>
        <w:ind w:hanging="426" w:left="426" w:right="0"/>
        <w:rPr>
          <w:i w:val="false"/>
          <w:i w:val="false"/>
          <w:iCs w:val="false"/>
        </w:rPr>
      </w:pPr>
      <w:bookmarkStart w:id="27" w:name="__RefHeading___Toc1951_3769077239_Копия_"/>
      <w:bookmarkStart w:id="28" w:name="_Toc126912491_Копия_1"/>
      <w:bookmarkStart w:id="29" w:name="_Toc143536508_Копия_1"/>
      <w:bookmarkStart w:id="30" w:name="_Toc50125127_Копия_1"/>
      <w:bookmarkStart w:id="31" w:name="_Toc127534165_Копия_1"/>
      <w:bookmarkStart w:id="32" w:name="_Toc51339697_Копия_1"/>
      <w:bookmarkStart w:id="33" w:name="_Toc124854287_Копия_1"/>
      <w:bookmarkStart w:id="34" w:name="_Toc501251261_Копия_1"/>
      <w:bookmarkEnd w:id="27"/>
      <w:bookmarkEnd w:id="34"/>
      <w:r>
        <w:rPr>
          <w:i w:val="false"/>
          <w:iCs w:val="false"/>
          <w:sz w:val="24"/>
          <w:szCs w:val="24"/>
        </w:rPr>
        <w:t xml:space="preserve">Таблица </w:t>
      </w:r>
      <w:r>
        <w:rPr>
          <w:i w:val="false"/>
          <w:iCs w:val="false"/>
          <w:sz w:val="24"/>
          <w:szCs w:val="24"/>
          <w:lang w:val="ru-RU"/>
        </w:rPr>
        <w:t>2.</w:t>
      </w:r>
      <w:r>
        <w:rPr>
          <w:i w:val="false"/>
          <w:iCs w:val="false"/>
          <w:sz w:val="24"/>
          <w:szCs w:val="24"/>
        </w:rPr>
        <w:t xml:space="preserve"> </w:t>
      </w:r>
      <w:bookmarkStart w:id="35" w:name="_Hlk50465284_Копия_1"/>
      <w:r>
        <w:rPr>
          <w:i w:val="false"/>
          <w:iCs w:val="false"/>
          <w:sz w:val="24"/>
          <w:szCs w:val="24"/>
        </w:rPr>
        <w:t xml:space="preserve">Требования по срокам </w:t>
      </w:r>
      <w:bookmarkEnd w:id="28"/>
      <w:bookmarkEnd w:id="29"/>
      <w:bookmarkEnd w:id="30"/>
      <w:bookmarkEnd w:id="31"/>
      <w:bookmarkEnd w:id="32"/>
      <w:bookmarkEnd w:id="33"/>
      <w:bookmarkEnd w:id="35"/>
      <w:r>
        <w:rPr>
          <w:i w:val="false"/>
          <w:iCs w:val="false"/>
          <w:sz w:val="24"/>
          <w:szCs w:val="24"/>
          <w:lang w:val="ru-RU"/>
        </w:rPr>
        <w:t xml:space="preserve">оказания услуг </w:t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5"/>
        <w:gridCol w:w="3418"/>
        <w:gridCol w:w="1645"/>
        <w:gridCol w:w="2605"/>
        <w:gridCol w:w="1196"/>
      </w:tblGrid>
      <w:tr>
        <w:trPr/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i w:val="false"/>
                <w:iCs w:val="false"/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i w:val="false"/>
                <w:iCs w:val="false"/>
                <w:sz w:val="24"/>
                <w:szCs w:val="24"/>
              </w:rPr>
              <w:t>п/п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i w:val="false"/>
                <w:iCs w:val="false"/>
                <w:sz w:val="24"/>
                <w:szCs w:val="24"/>
              </w:rPr>
              <w:t>Наименование услуги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  <w:sz w:val="24"/>
                <w:szCs w:val="24"/>
              </w:rPr>
              <w:t>Требования к началу срока оказания услуг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  <w:sz w:val="24"/>
                <w:szCs w:val="24"/>
              </w:rPr>
              <w:t>Требования к окончанию срока оказания услуг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i w:val="false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Примечание</w:t>
            </w:r>
          </w:p>
        </w:tc>
      </w:tr>
      <w:tr>
        <w:trPr/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b/>
                <w:i w:val="false"/>
                <w:iCs w:val="false"/>
                <w:sz w:val="24"/>
                <w:szCs w:val="24"/>
              </w:rPr>
              <w:t>1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b/>
                <w:i w:val="false"/>
                <w:iCs w:val="false"/>
                <w:sz w:val="24"/>
                <w:szCs w:val="24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0"/>
              <w:keepNext w:val="false"/>
              <w:widowControl w:val="false"/>
              <w:spacing w:before="0" w:after="0"/>
              <w:jc w:val="center"/>
              <w:rPr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b/>
                <w:i w:val="false"/>
                <w:iCs w:val="false"/>
                <w:sz w:val="24"/>
                <w:szCs w:val="24"/>
              </w:rPr>
              <w:t>3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0"/>
              <w:keepNext w:val="false"/>
              <w:widowControl w:val="false"/>
              <w:spacing w:before="0" w:after="0"/>
              <w:jc w:val="center"/>
              <w:rPr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b/>
                <w:i w:val="false"/>
                <w:iCs w:val="false"/>
                <w:sz w:val="24"/>
                <w:szCs w:val="24"/>
              </w:rPr>
              <w:t>4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0"/>
              <w:keepNext w:val="false"/>
              <w:widowControl w:val="false"/>
              <w:spacing w:before="0" w:after="0"/>
              <w:jc w:val="center"/>
              <w:rPr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b/>
                <w:i w:val="false"/>
                <w:iCs w:val="false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ind w:hanging="360" w:left="360" w:right="0"/>
              <w:jc w:val="center"/>
              <w:rPr>
                <w:i w:val="false"/>
                <w:i w:val="false"/>
                <w:iCs w:val="false"/>
              </w:rPr>
            </w:pPr>
            <w:r>
              <w:rPr>
                <w:i w:val="false"/>
                <w:iCs w:val="false"/>
              </w:rPr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120" w:after="240"/>
              <w:ind w:hanging="0" w:left="0" w:right="0"/>
              <w:jc w:val="both"/>
              <w:rPr>
                <w:rFonts w:eastAsia="Times New Roman" w:cs="Times New Roman"/>
                <w:bCs/>
                <w:i w:val="false"/>
                <w:i w:val="false"/>
                <w:iCs w:val="false"/>
                <w:sz w:val="24"/>
                <w:szCs w:val="24"/>
                <w:lang w:eastAsia="x-none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sz w:val="24"/>
                <w:szCs w:val="24"/>
                <w:lang w:eastAsia="x-none"/>
              </w:rPr>
              <w:t>ОКПД2 62.02.3.004 Оказание услуг по предоставлению доступа к Информационно-аналитической системе обеспечения безопасности СФИНКС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i w:val="false"/>
                <w:iCs w:val="false"/>
                <w:sz w:val="24"/>
                <w:szCs w:val="24"/>
              </w:rPr>
              <w:t xml:space="preserve">С </w:t>
            </w:r>
            <w:r>
              <w:rPr>
                <w:i w:val="false"/>
                <w:iCs w:val="false"/>
                <w:sz w:val="24"/>
                <w:szCs w:val="24"/>
              </w:rPr>
              <w:t>01.02.2027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 w:val="false"/>
                <w:i w:val="false"/>
                <w:iCs w:val="false"/>
                <w:sz w:val="24"/>
                <w:szCs w:val="24"/>
              </w:rPr>
            </w:pPr>
            <w:bookmarkStart w:id="36" w:name="_Toc46743510_Копия_1_Копия_1"/>
            <w:r>
              <w:rPr>
                <w:i w:val="false"/>
                <w:iCs w:val="false"/>
                <w:sz w:val="24"/>
                <w:szCs w:val="24"/>
              </w:rPr>
              <w:t>Д</w:t>
            </w:r>
            <w:bookmarkEnd w:id="36"/>
            <w:r>
              <w:rPr>
                <w:i w:val="false"/>
                <w:iCs w:val="false"/>
                <w:sz w:val="24"/>
                <w:szCs w:val="24"/>
              </w:rPr>
              <w:t>о 30.06.2028г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i w:val="false"/>
                <w:iCs w:val="false"/>
                <w:sz w:val="24"/>
                <w:szCs w:val="24"/>
              </w:rPr>
              <w:t>нет</w:t>
            </w:r>
          </w:p>
        </w:tc>
      </w:tr>
    </w:tbl>
    <w:p>
      <w:pPr>
        <w:pStyle w:val="Heading4"/>
        <w:numPr>
          <w:ilvl w:val="0"/>
        </w:numPr>
        <w:ind w:hanging="426" w:left="426" w:right="0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Heading2"/>
        <w:keepNext w:val="true"/>
        <w:widowControl/>
        <w:numPr>
          <w:ilvl w:val="1"/>
          <w:numId w:val="8"/>
        </w:numPr>
        <w:suppressAutoHyphens w:val="true"/>
        <w:overflowPunct w:val="false"/>
        <w:bidi w:val="0"/>
        <w:spacing w:before="120" w:after="60"/>
        <w:ind w:hanging="360" w:left="720" w:right="0"/>
        <w:jc w:val="left"/>
        <w:rPr>
          <w:i w:val="false"/>
          <w:i w:val="false"/>
          <w:iCs w:val="false"/>
        </w:rPr>
      </w:pPr>
      <w:bookmarkStart w:id="37" w:name="__RefHeading___Toc1953_3769077239"/>
      <w:bookmarkStart w:id="38" w:name="_Toc51339698"/>
      <w:bookmarkStart w:id="39" w:name="_Toc143536509"/>
      <w:bookmarkStart w:id="40" w:name="_Toc46743511"/>
      <w:bookmarkEnd w:id="37"/>
      <w:r>
        <w:rPr>
          <w:i w:val="false"/>
          <w:iCs w:val="false"/>
        </w:rPr>
        <w:t xml:space="preserve">Требования к </w:t>
      </w:r>
      <w:bookmarkEnd w:id="40"/>
      <w:r>
        <w:rPr>
          <w:i w:val="false"/>
          <w:iCs w:val="false"/>
        </w:rPr>
        <w:t xml:space="preserve">качеству </w:t>
      </w:r>
      <w:bookmarkEnd w:id="39"/>
      <w:r>
        <w:rPr>
          <w:i w:val="false"/>
          <w:iCs w:val="false"/>
          <w:lang w:val="ru-RU"/>
        </w:rPr>
        <w:t>оказываемых услуг</w:t>
      </w:r>
    </w:p>
    <w:p>
      <w:pPr>
        <w:pStyle w:val="Heading3"/>
        <w:numPr>
          <w:ilvl w:val="0"/>
        </w:numPr>
        <w:ind w:hanging="426" w:left="426" w:right="0"/>
        <w:rPr>
          <w:i w:val="false"/>
          <w:i w:val="false"/>
          <w:iCs w:val="false"/>
        </w:rPr>
      </w:pPr>
      <w:bookmarkStart w:id="41" w:name="__RefHeading___Toc1955_3769077239"/>
      <w:bookmarkStart w:id="42" w:name="_Toc126912493"/>
      <w:bookmarkStart w:id="43" w:name="_Toc127534167"/>
      <w:bookmarkStart w:id="44" w:name="_Toc143536510"/>
      <w:bookmarkStart w:id="45" w:name="_Toc124854289"/>
      <w:bookmarkEnd w:id="41"/>
      <w:r>
        <w:rPr>
          <w:i w:val="false"/>
          <w:iCs w:val="false"/>
          <w:sz w:val="24"/>
          <w:szCs w:val="24"/>
        </w:rPr>
        <w:t>Таблица </w:t>
      </w:r>
      <w:r>
        <w:rPr>
          <w:i w:val="false"/>
          <w:iCs w:val="false"/>
          <w:sz w:val="24"/>
          <w:szCs w:val="24"/>
          <w:lang w:val="ru-RU"/>
        </w:rPr>
        <w:t>3</w:t>
      </w:r>
      <w:r>
        <w:rPr>
          <w:i w:val="false"/>
          <w:iCs w:val="false"/>
          <w:sz w:val="24"/>
          <w:szCs w:val="24"/>
        </w:rPr>
        <w:t xml:space="preserve">. Требования к </w:t>
      </w:r>
      <w:bookmarkEnd w:id="42"/>
      <w:bookmarkEnd w:id="43"/>
      <w:bookmarkEnd w:id="44"/>
      <w:bookmarkEnd w:id="45"/>
      <w:r>
        <w:rPr>
          <w:i w:val="false"/>
          <w:iCs w:val="false"/>
          <w:sz w:val="24"/>
          <w:szCs w:val="24"/>
          <w:lang w:val="ru-RU"/>
        </w:rPr>
        <w:t>услуге</w:t>
      </w:r>
      <w:r>
        <w:rPr>
          <w:i w:val="false"/>
          <w:iCs w:val="false"/>
          <w:sz w:val="24"/>
          <w:szCs w:val="24"/>
        </w:rPr>
        <w:t xml:space="preserve"> </w:t>
      </w:r>
      <w:bookmarkEnd w:id="38"/>
    </w:p>
    <w:p>
      <w:pPr>
        <w:pStyle w:val="Normal"/>
        <w:rPr>
          <w:i w:val="false"/>
          <w:i w:val="false"/>
          <w:iCs w:val="false"/>
          <w:sz w:val="24"/>
          <w:szCs w:val="24"/>
        </w:rPr>
      </w:pPr>
      <w:r>
        <w:rPr>
          <w:i w:val="false"/>
          <w:iCs w:val="false"/>
          <w:sz w:val="24"/>
          <w:szCs w:val="24"/>
        </w:rPr>
      </w:r>
    </w:p>
    <w:tbl>
      <w:tblPr>
        <w:tblW w:w="9863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2403"/>
        <w:gridCol w:w="6895"/>
      </w:tblGrid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Times New Roman" w:cs="Times New Roman"/>
                <w:b/>
                <w:bCs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 w:val="false"/>
                <w:i w:val="false"/>
                <w:iCs w:val="false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color w:val="auto"/>
                <w:spacing w:val="-4"/>
                <w:kern w:val="0"/>
                <w:sz w:val="24"/>
                <w:szCs w:val="24"/>
                <w:lang w:val="ru-RU" w:eastAsia="ru-RU" w:bidi="ar-SA"/>
              </w:rPr>
              <w:t>Наименование</w:t>
            </w:r>
            <w:r>
              <w:rPr>
                <w:rFonts w:eastAsia="Times New Roman" w:cs="Times New Roman"/>
                <w:b/>
                <w:bCs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параметра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Times New Roman" w:cs="Times New Roman"/>
                <w:b/>
                <w:bCs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Требование заказчика</w:t>
            </w:r>
          </w:p>
        </w:tc>
      </w:tr>
      <w:tr>
        <w:trPr>
          <w:trHeight w:val="167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cs="Times New Roman"/>
                <w:b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Times New Roman" w:cs="Times New Roman"/>
                <w:b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Times New Roman" w:cs="Times New Roman"/>
                <w:b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ind w:hanging="360" w:left="360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9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b/>
                <w:i w:val="false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Требования к оказанию услуг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firstLine="142" w:left="-117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9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Оказание технической поддержки в течение срока оказания услуг посредством Комплекса средств автоматизации службы поддержки пользователей Заказчика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firstLine="142" w:left="-117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929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Предоставление доступа к Информационно-аналитической системе обеспечения безопасности СФИНКС посредством корпоративной сети передачи данных для 2х пользователей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ind w:hanging="360" w:left="360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9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b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Требования к безопасности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firstLine="142" w:left="-117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Информационная безопасность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spacing w:val="-6"/>
                <w:kern w:val="0"/>
                <w:sz w:val="24"/>
                <w:szCs w:val="24"/>
                <w:lang w:val="ru-RU" w:eastAsia="ru-RU" w:bidi="ar-SA"/>
              </w:rPr>
              <w:t>Требования к информационной безопасности должны обеспечиваться на всех стадиях жизненного цикла систем, с учетом всех сторон, вовлеченных в процессы жизненного цикла.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firstLine="142" w:left="-117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bCs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Требование к безопасности по передаче учётных записей</w:t>
            </w:r>
          </w:p>
        </w:tc>
        <w:tc>
          <w:tcPr>
            <w:tcW w:w="68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bCs/>
                <w:i w:val="false"/>
                <w:i w:val="false"/>
                <w:iCs w:val="false"/>
                <w:spacing w:val="-6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spacing w:val="-6"/>
                <w:kern w:val="0"/>
                <w:sz w:val="24"/>
                <w:szCs w:val="24"/>
                <w:lang w:val="ru-RU" w:eastAsia="ru-RU" w:bidi="ar-SA"/>
              </w:rPr>
              <w:t>Предоставление логина и пароля осуществляется Исполнителем, в формате архива rar с установленным паролем, на адрес электронной почты Заказчика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firstLine="142" w:left="-117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bCs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Требование к получению пароля от архива</w:t>
            </w:r>
          </w:p>
        </w:tc>
        <w:tc>
          <w:tcPr>
            <w:tcW w:w="68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bCs/>
                <w:i w:val="false"/>
                <w:i w:val="false"/>
                <w:iCs w:val="false"/>
                <w:spacing w:val="-6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spacing w:val="-6"/>
                <w:kern w:val="0"/>
                <w:sz w:val="24"/>
                <w:szCs w:val="24"/>
                <w:lang w:val="ru-RU" w:eastAsia="ru-RU" w:bidi="ar-SA"/>
              </w:rPr>
              <w:t>Необходимо осуществить звонок уполномоченному сотруднику от Исполнителя по указанному номеру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ind w:hanging="360" w:left="360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9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b/>
                <w:bCs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Требования к способам оказания услуг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firstLine="142" w:left="-117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Активация доступа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 w:val="false"/>
                <w:iCs w:val="false"/>
                <w:spacing w:val="-8"/>
                <w:kern w:val="0"/>
                <w:sz w:val="24"/>
                <w:szCs w:val="24"/>
                <w:lang w:val="ru-RU" w:eastAsia="ru-RU" w:bidi="ar-SA"/>
              </w:rPr>
              <w:t>Исполнитель обязан предоставить логин и пароль уполномоченному сотруднику Заказчика для активации доступа к Сервису в личном кабинете, расположенном по адресу: http://iaspk.rushydro.ru/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firstLine="142" w:left="-117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Способ оказания услуг</w:t>
            </w:r>
          </w:p>
        </w:tc>
        <w:tc>
          <w:tcPr>
            <w:tcW w:w="68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i w:val="false"/>
                <w:iCs w:val="false"/>
                <w:sz w:val="24"/>
                <w:szCs w:val="24"/>
              </w:rPr>
              <w:t>Посредством корпоративной сети передачи данных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firstLine="142" w:left="-117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Место оказания услуг</w:t>
            </w:r>
          </w:p>
        </w:tc>
        <w:tc>
          <w:tcPr>
            <w:tcW w:w="68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 xml:space="preserve">Услуга должна быть оказана </w:t>
            </w:r>
            <w:r>
              <w:rPr>
                <w:rFonts w:eastAsia="Times New Roman" w:cs="Times New Roman"/>
                <w:i w:val="false"/>
                <w:iCs w:val="false"/>
                <w:spacing w:val="-8"/>
                <w:kern w:val="0"/>
                <w:sz w:val="24"/>
                <w:szCs w:val="24"/>
                <w:lang w:val="ru-RU" w:eastAsia="ru-RU" w:bidi="ar-SA"/>
              </w:rPr>
              <w:t>Исполнителем по адресу: 603140, Нижегородская обл., г.о. город Нижний Новгород, г. Нижний Новгород, пер. Мотальный, д.8 помещ. ВП31, офис С1А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ind w:hanging="360" w:left="360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9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rFonts w:cs="Times New Roman"/>
                <w:b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Требования к обязательствам Исполнителя, влияющим на исполнение договора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firstLine="142" w:left="-117" w:right="0"/>
              <w:contextualSpacing/>
              <w:jc w:val="center"/>
              <w:rPr>
                <w:i w:val="false"/>
                <w:i w:val="false"/>
                <w:iCs w:val="false"/>
                <w:lang w:eastAsia="x-none"/>
              </w:rPr>
            </w:pPr>
            <w:r>
              <w:rPr>
                <w:i w:val="false"/>
                <w:iCs w:val="false"/>
                <w:lang w:eastAsia="x-none"/>
              </w:rPr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bCs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Взаимодействие представителей Заказчика и Исполнителя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i w:val="false"/>
                <w:i w:val="false"/>
                <w:iCs w:val="false"/>
              </w:rPr>
            </w:pPr>
            <w:r>
              <w:rPr>
                <w:rFonts w:eastAsia="Times New Roman" w:cs="Times New Roman"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Осуществляется через Комплекс средств автоматизации службы поддержки пользователей Заказчика, а т</w:t>
            </w:r>
            <w:bookmarkStart w:id="46" w:name="_GoBack"/>
            <w:bookmarkEnd w:id="46"/>
            <w:r>
              <w:rPr>
                <w:rFonts w:eastAsia="Times New Roman" w:cs="Times New Roman"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акже помимо этого может осуществляться лично, по телефону либо посредством электронной почты.</w:t>
            </w:r>
          </w:p>
        </w:tc>
      </w:tr>
    </w:tbl>
    <w:p>
      <w:pPr>
        <w:pStyle w:val="Heading1"/>
        <w:numPr>
          <w:ilvl w:val="0"/>
        </w:numPr>
        <w:spacing w:before="120" w:after="60"/>
        <w:ind w:hanging="0" w:left="0" w:right="0"/>
        <w:jc w:val="center"/>
        <w:rPr>
          <w:i w:val="false"/>
          <w:i w:val="false"/>
          <w:iCs w:val="false"/>
        </w:rPr>
      </w:pPr>
      <w:r>
        <w:rPr>
          <w:i w:val="false"/>
          <w:iCs w:val="false"/>
        </w:rPr>
      </w:r>
    </w:p>
    <w:sectPr>
      <w:headerReference w:type="default" r:id="rId2"/>
      <w:headerReference w:type="first" r:id="rId3"/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716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360"/>
      </w:pPr>
      <w:rPr/>
    </w:lvl>
  </w:abstractNum>
  <w:abstractNum w:abstractNumId="9"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7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pPr>
      <w:numPr>
        <w:ilvl w:val="0"/>
        <w:numId w:val="0"/>
      </w:numPr>
      <w:ind w:hanging="426" w:left="426" w:right="0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pPr>
      <w:numPr>
        <w:ilvl w:val="0"/>
        <w:numId w:val="0"/>
      </w:numPr>
      <w:ind w:hanging="426" w:left="426" w:right="0"/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pPr>
      <w:keepNext w:val="true"/>
      <w:numPr>
        <w:ilvl w:val="0"/>
        <w:numId w:val="0"/>
      </w:numPr>
      <w:tabs>
        <w:tab w:val="clear" w:pos="708"/>
        <w:tab w:val="left" w:pos="0" w:leader="none"/>
      </w:tabs>
      <w:spacing w:before="120" w:after="60"/>
      <w:ind w:hanging="426" w:left="426" w:right="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pPr>
      <w:numPr>
        <w:ilvl w:val="0"/>
        <w:numId w:val="0"/>
      </w:numPr>
      <w:ind w:hanging="426" w:left="426" w:right="0"/>
      <w:outlineLvl w:val="3"/>
    </w:pPr>
    <w:rPr>
      <w:bCs/>
    </w:rPr>
  </w:style>
  <w:style w:type="paragraph" w:styleId="Heading5">
    <w:name w:val="Heading 5"/>
    <w:basedOn w:val="Normal"/>
    <w:next w:val="Normal"/>
    <w:link w:val="5"/>
    <w:qFormat/>
    <w:pPr>
      <w:numPr>
        <w:ilvl w:val="0"/>
        <w:numId w:val="0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qFormat/>
    <w:pPr>
      <w:keepNext w:val="true"/>
      <w:keepLines/>
      <w:numPr>
        <w:ilvl w:val="0"/>
        <w:numId w:val="0"/>
      </w:numPr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qFormat/>
    <w:pPr>
      <w:keepNext w:val="true"/>
      <w:keepLines/>
      <w:numPr>
        <w:ilvl w:val="0"/>
        <w:numId w:val="0"/>
      </w:numPr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qFormat/>
    <w:pPr>
      <w:keepNext w:val="true"/>
      <w:keepLines/>
      <w:numPr>
        <w:ilvl w:val="0"/>
        <w:numId w:val="0"/>
      </w:numPr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qFormat/>
    <w:pPr>
      <w:numPr>
        <w:ilvl w:val="0"/>
        <w:numId w:val="0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>
    <w:name w:val="Default Paragraph Font"/>
    <w:qFormat/>
    <w:rPr/>
  </w:style>
  <w:style w:type="character" w:styleId="Style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Pagenumber">
    <w:name w:val="page number"/>
    <w:basedOn w:val="DefaultParagraphFont"/>
    <w:qFormat/>
    <w:rPr/>
  </w:style>
  <w:style w:type="character" w:styleId="Hyperlink">
    <w:name w:val="Hyperlink"/>
    <w:rPr>
      <w:color w:val="0000FF"/>
      <w:u w:val="single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6">
    <w:name w:val="Заголовок 6 Знак"/>
    <w:qFormat/>
    <w:rPr>
      <w:rFonts w:ascii="Cambria" w:hAnsi="Cambria"/>
      <w:i/>
      <w:iCs/>
      <w:color w:val="243F60"/>
      <w:lang w:val="x-none" w:eastAsia="x-none"/>
    </w:rPr>
  </w:style>
  <w:style w:type="character" w:styleId="7">
    <w:name w:val="Заголовок 7 Знак"/>
    <w:qFormat/>
    <w:rPr>
      <w:rFonts w:ascii="Cambria" w:hAnsi="Cambria"/>
      <w:i/>
      <w:iCs/>
      <w:color w:val="404040"/>
      <w:lang w:val="x-none" w:eastAsia="x-none"/>
    </w:rPr>
  </w:style>
  <w:style w:type="character" w:styleId="8">
    <w:name w:val="Заголовок 8 Знак"/>
    <w:qFormat/>
    <w:rPr>
      <w:rFonts w:ascii="Cambria" w:hAnsi="Cambria"/>
      <w:color w:val="4F81BD"/>
      <w:lang w:val="x-none" w:eastAsia="x-none"/>
    </w:rPr>
  </w:style>
  <w:style w:type="character" w:styleId="1">
    <w:name w:val="Заголовок 1 Знак"/>
    <w:qFormat/>
    <w:rPr>
      <w:rFonts w:eastAsia="Calibri"/>
      <w:b/>
      <w:sz w:val="28"/>
      <w:szCs w:val="28"/>
      <w:lang w:val="x-none" w:eastAsia="x-none"/>
    </w:rPr>
  </w:style>
  <w:style w:type="character" w:styleId="2">
    <w:name w:val="Заголовок 2 Знак"/>
    <w:qFormat/>
    <w:rPr>
      <w:rFonts w:eastAsia="Calibri"/>
      <w:b/>
      <w:bCs/>
      <w:sz w:val="24"/>
      <w:szCs w:val="24"/>
      <w:lang w:val="x-none" w:eastAsia="x-none"/>
    </w:rPr>
  </w:style>
  <w:style w:type="character" w:styleId="3">
    <w:name w:val="Заголовок 3 Знак"/>
    <w:qFormat/>
    <w:rPr>
      <w:rFonts w:eastAsia="Calibri"/>
      <w:b/>
      <w:sz w:val="24"/>
      <w:szCs w:val="24"/>
      <w:lang w:val="x-none" w:eastAsia="x-none"/>
    </w:rPr>
  </w:style>
  <w:style w:type="character" w:styleId="4">
    <w:name w:val="Заголовок 4 Знак"/>
    <w:qFormat/>
    <w:rPr>
      <w:rFonts w:eastAsia="Calibri"/>
      <w:b/>
      <w:bCs/>
      <w:sz w:val="24"/>
      <w:szCs w:val="24"/>
      <w:lang w:val="x-none" w:eastAsia="x-none"/>
    </w:rPr>
  </w:style>
  <w:style w:type="character" w:styleId="5">
    <w:name w:val="Заголовок 5 Знак"/>
    <w:qFormat/>
    <w:rPr>
      <w:b/>
      <w:bCs/>
      <w:i/>
      <w:iCs/>
      <w:sz w:val="26"/>
      <w:szCs w:val="26"/>
    </w:rPr>
  </w:style>
  <w:style w:type="character" w:styleId="9">
    <w:name w:val="Заголовок 9 Знак"/>
    <w:qFormat/>
    <w:rPr>
      <w:rFonts w:ascii="Arial" w:hAnsi="Arial" w:cs="Arial"/>
      <w:sz w:val="22"/>
      <w:szCs w:val="22"/>
    </w:rPr>
  </w:style>
  <w:style w:type="character" w:styleId="Style1">
    <w:name w:val="Название Знак"/>
    <w:link w:val="15"/>
    <w:qFormat/>
    <w:rPr>
      <w:sz w:val="28"/>
    </w:rPr>
  </w:style>
  <w:style w:type="character" w:styleId="Style2">
    <w:name w:val="Подзаголовок Знак"/>
    <w:qFormat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qFormat/>
    <w:rPr>
      <w:i/>
      <w:iCs/>
    </w:rPr>
  </w:style>
  <w:style w:type="character" w:styleId="21">
    <w:name w:val="Цитата 2 Знак"/>
    <w:link w:val="Quote"/>
    <w:qFormat/>
    <w:rPr>
      <w:rFonts w:ascii="Calibri" w:hAnsi="Calibri" w:eastAsia="Calibri"/>
      <w:i/>
      <w:iCs/>
      <w:color w:val="000000"/>
      <w:lang w:val="x-none" w:eastAsia="x-none"/>
    </w:rPr>
  </w:style>
  <w:style w:type="character" w:styleId="Style3">
    <w:name w:val="Выделенная цитата Знак"/>
    <w:link w:val="IntenseQuote"/>
    <w:qFormat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qFormat/>
    <w:rPr>
      <w:i/>
      <w:iCs/>
      <w:color w:val="808080"/>
    </w:rPr>
  </w:style>
  <w:style w:type="character" w:styleId="IntenseEmphasis">
    <w:name w:val="Intense Emphasis"/>
    <w:qFormat/>
    <w:rPr>
      <w:b/>
      <w:bCs/>
      <w:i/>
      <w:iCs/>
      <w:color w:val="4F81BD"/>
    </w:rPr>
  </w:style>
  <w:style w:type="character" w:styleId="SubtleReference">
    <w:name w:val="Subtle Reference"/>
    <w:qFormat/>
    <w:rPr>
      <w:smallCaps/>
      <w:color w:val="C0504D"/>
      <w:u w:val="single"/>
    </w:rPr>
  </w:style>
  <w:style w:type="character" w:styleId="IntenseReference">
    <w:name w:val="Intense Reference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qFormat/>
    <w:rPr>
      <w:b/>
      <w:bCs/>
      <w:smallCaps/>
      <w:spacing w:val="5"/>
    </w:rPr>
  </w:style>
  <w:style w:type="character" w:styleId="Style4">
    <w:name w:val="Электронная подпись Знак"/>
    <w:link w:val="E-mailSignature"/>
    <w:qFormat/>
    <w:rPr>
      <w:rFonts w:eastAsia="Calibri"/>
      <w:sz w:val="24"/>
      <w:szCs w:val="24"/>
    </w:rPr>
  </w:style>
  <w:style w:type="character" w:styleId="11">
    <w:name w:val="Подпункт Знак1"/>
    <w:link w:val="Style23"/>
    <w:qFormat/>
    <w:rPr>
      <w:sz w:val="28"/>
    </w:rPr>
  </w:style>
  <w:style w:type="character" w:styleId="Style5">
    <w:name w:val="Текст сноски Знак"/>
    <w:qFormat/>
    <w:rPr/>
  </w:style>
  <w:style w:type="character" w:styleId="Style6">
    <w:name w:val="Основной текст Знак"/>
    <w:qFormat/>
    <w:rPr>
      <w:sz w:val="28"/>
      <w:szCs w:val="28"/>
    </w:rPr>
  </w:style>
  <w:style w:type="character" w:styleId="Blk">
    <w:name w:val="blk"/>
    <w:qFormat/>
    <w:rPr/>
  </w:style>
  <w:style w:type="character" w:styleId="Style7">
    <w:name w:val="Абзац списка Знак"/>
    <w:link w:val="ListParagraph"/>
    <w:qFormat/>
    <w:rPr>
      <w:rFonts w:eastAsia="Calibri"/>
      <w:sz w:val="24"/>
      <w:szCs w:val="24"/>
    </w:rPr>
  </w:style>
  <w:style w:type="character" w:styleId="Style8">
    <w:name w:val="комментарий"/>
    <w:qFormat/>
    <w:rPr>
      <w:b/>
      <w:i/>
      <w:shd w:fill="FFFF99" w:val="clear"/>
    </w:rPr>
  </w:style>
  <w:style w:type="character" w:styleId="Style9">
    <w:name w:val="Подподпункт Знак"/>
    <w:link w:val="Style31"/>
    <w:qFormat/>
    <w:rPr>
      <w:sz w:val="26"/>
      <w:szCs w:val="26"/>
    </w:rPr>
  </w:style>
  <w:style w:type="character" w:styleId="31">
    <w:name w:val="УРОВЕНЬ_Абзац_тип3 Знак"/>
    <w:link w:val="36"/>
    <w:qFormat/>
    <w:rPr>
      <w:rFonts w:eastAsia="Calibri"/>
      <w:sz w:val="26"/>
      <w:szCs w:val="28"/>
      <w:lang w:eastAsia="en-US"/>
    </w:rPr>
  </w:style>
  <w:style w:type="character" w:styleId="Style10">
    <w:name w:val="Верхний колонтитул Знак"/>
    <w:qFormat/>
    <w:rPr>
      <w:sz w:val="24"/>
      <w:szCs w:val="24"/>
    </w:rPr>
  </w:style>
  <w:style w:type="character" w:styleId="Style11">
    <w:name w:val="Текст примечания Знак"/>
    <w:link w:val="Annotationtext"/>
    <w:qFormat/>
    <w:rPr/>
  </w:style>
  <w:style w:type="character" w:styleId="Style12">
    <w:name w:val="Текст концевой сноски Знак"/>
    <w:basedOn w:val="DefaultParagraphFont"/>
    <w:qFormat/>
    <w:rPr/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qFormat/>
    <w:rPr>
      <w:vertAlign w:val="superscript"/>
    </w:rPr>
  </w:style>
  <w:style w:type="character" w:styleId="22">
    <w:name w:val="Пункт2 Знак"/>
    <w:link w:val="24"/>
    <w:qFormat/>
    <w:rPr>
      <w:b/>
      <w:sz w:val="28"/>
    </w:rPr>
  </w:style>
  <w:style w:type="character" w:styleId="12">
    <w:name w:val="УРОВЕНЬ_1. Знак"/>
    <w:link w:val="19"/>
    <w:qFormat/>
    <w:rPr>
      <w:rFonts w:eastAsia="Calibri"/>
      <w:caps/>
      <w:sz w:val="28"/>
      <w:szCs w:val="28"/>
      <w:lang w:eastAsia="en-US"/>
    </w:rPr>
  </w:style>
  <w:style w:type="character" w:styleId="13">
    <w:name w:val="Неразрешенное упоминание1"/>
    <w:basedOn w:val="DefaultParagraphFont"/>
    <w:qFormat/>
    <w:rPr>
      <w:color w:val="605E5C"/>
      <w:shd w:fill="E1DFDD" w:val="clear"/>
    </w:rPr>
  </w:style>
  <w:style w:type="character" w:styleId="32">
    <w:name w:val="Основной текст с отступом 3 Знак"/>
    <w:link w:val="BodyTextIndent3"/>
    <w:qFormat/>
    <w:rPr>
      <w:sz w:val="16"/>
      <w:szCs w:val="16"/>
    </w:rPr>
  </w:style>
  <w:style w:type="character" w:styleId="Style14">
    <w:name w:val="Ссылка указателя"/>
    <w:qFormat/>
    <w:rPr/>
  </w:style>
  <w:style w:type="character" w:styleId="Style15">
    <w:name w:val="Символ нумерации"/>
    <w:qFormat/>
    <w:rPr/>
  </w:style>
  <w:style w:type="character" w:styleId="Style16">
    <w:name w:val="Маркеры"/>
    <w:qFormat/>
    <w:rPr>
      <w:rFonts w:ascii="OpenSymbol" w:hAnsi="OpenSymbol" w:eastAsia="OpenSymbol" w:cs="OpenSymbol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6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</w:rPr>
  </w:style>
  <w:style w:type="paragraph" w:styleId="Caption1">
    <w:name w:val="caption1"/>
    <w:basedOn w:val="Normal"/>
    <w:next w:val="Normal"/>
    <w:qFormat/>
    <w:pPr/>
    <w:rPr>
      <w:rFonts w:eastAsia="Calibri"/>
      <w:b/>
      <w:bCs/>
      <w:color w:val="4F81BD"/>
      <w:sz w:val="18"/>
      <w:szCs w:val="18"/>
    </w:rPr>
  </w:style>
  <w:style w:type="paragraph" w:styleId="Indexheading1">
    <w:name w:val="index heading1"/>
    <w:basedOn w:val="Title"/>
    <w:qFormat/>
    <w:pPr/>
    <w:rPr/>
  </w:style>
  <w:style w:type="paragraph" w:styleId="Style19">
    <w:name w:val="Название раздела инструкции"/>
    <w:basedOn w:val="Normal"/>
    <w:autoRedefine/>
    <w:qFormat/>
    <w:pPr>
      <w:jc w:val="center"/>
    </w:pPr>
    <w:rPr>
      <w:b/>
    </w:rPr>
  </w:style>
  <w:style w:type="paragraph" w:styleId="Style20">
    <w:name w:val="Раздел положения"/>
    <w:basedOn w:val="Normal"/>
    <w:autoRedefine/>
    <w:qFormat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1">
    <w:name w:val="Подраздел раздела положения"/>
    <w:basedOn w:val="Normal"/>
    <w:autoRedefine/>
    <w:qFormat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pPr/>
    <w:rPr>
      <w:sz w:val="20"/>
      <w:szCs w:val="20"/>
    </w:rPr>
  </w:style>
  <w:style w:type="paragraph" w:styleId="14">
    <w:name w:val="Шапка 1"/>
    <w:basedOn w:val="Normal"/>
    <w:qFormat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>
    <w:name w:val="Шапка 2"/>
    <w:basedOn w:val="Normal"/>
    <w:qFormat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>
    <w:name w:val="Шапка 3"/>
    <w:basedOn w:val="Normal"/>
    <w:qFormat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>
    <w:name w:val="Название1"/>
    <w:basedOn w:val="Normal"/>
    <w:link w:val="Style1"/>
    <w:qFormat/>
    <w:pPr>
      <w:jc w:val="center"/>
    </w:pPr>
    <w:rPr>
      <w:szCs w:val="20"/>
      <w:lang w:val="x-none" w:eastAsia="x-none"/>
    </w:rPr>
  </w:style>
  <w:style w:type="paragraph" w:styleId="Style22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pPr>
      <w:ind w:hanging="0" w:left="360" w:right="0"/>
    </w:pPr>
    <w:rPr>
      <w:sz w:val="24"/>
      <w:szCs w:val="24"/>
    </w:rPr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pPr>
      <w:spacing w:lineRule="auto" w:line="480" w:before="0" w:after="120"/>
      <w:ind w:hanging="0" w:left="283" w:right="0"/>
    </w:pPr>
    <w:rPr/>
  </w:style>
  <w:style w:type="paragraph" w:styleId="BodyText3">
    <w:name w:val="Body Text 3"/>
    <w:basedOn w:val="Normal"/>
    <w:qFormat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pPr>
      <w:spacing w:before="0" w:after="120"/>
      <w:ind w:hanging="0" w:left="283" w:right="0"/>
    </w:pPr>
    <w:rPr>
      <w:sz w:val="16"/>
      <w:szCs w:val="16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BlockText">
    <w:name w:val="Block Text"/>
    <w:basedOn w:val="Normal"/>
    <w:qFormat/>
    <w:pPr>
      <w:ind w:hanging="0" w:left="-567" w:right="-766"/>
      <w:jc w:val="center"/>
    </w:pPr>
    <w:rPr>
      <w:b/>
      <w:bCs/>
      <w:sz w:val="24"/>
      <w:szCs w:val="20"/>
    </w:rPr>
  </w:style>
  <w:style w:type="paragraph" w:styleId="Style23">
    <w:name w:val="Подпункт"/>
    <w:basedOn w:val="Normal"/>
    <w:link w:val="11"/>
    <w:qFormat/>
    <w:pPr>
      <w:tabs>
        <w:tab w:val="clear" w:pos="708"/>
        <w:tab w:val="left" w:pos="1134" w:leader="none"/>
      </w:tabs>
      <w:snapToGrid w:val="false"/>
      <w:spacing w:lineRule="auto" w:line="360"/>
      <w:ind w:hanging="1134" w:left="1134" w:right="0"/>
      <w:jc w:val="both"/>
    </w:pPr>
    <w:rPr>
      <w:szCs w:val="20"/>
      <w:lang w:val="x-none" w:eastAsia="x-none"/>
    </w:rPr>
  </w:style>
  <w:style w:type="paragraph" w:styleId="24">
    <w:name w:val="Пункт2"/>
    <w:basedOn w:val="Normal"/>
    <w:link w:val="22"/>
    <w:qFormat/>
    <w:pPr>
      <w:keepNext w:val="true"/>
      <w:numPr>
        <w:ilvl w:val="0"/>
        <w:numId w:val="0"/>
      </w:numPr>
      <w:tabs>
        <w:tab w:val="clear" w:pos="708"/>
        <w:tab w:val="left" w:pos="1134" w:leader="none"/>
      </w:tabs>
      <w:snapToGrid w:val="false"/>
      <w:spacing w:before="240" w:after="120"/>
      <w:ind w:hanging="1134" w:left="1134" w:right="0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pPr>
      <w:ind w:hanging="0" w:left="280" w:right="0"/>
    </w:pPr>
    <w:rPr>
      <w:rFonts w:cs="Calibri"/>
      <w:sz w:val="20"/>
      <w:szCs w:val="20"/>
    </w:rPr>
  </w:style>
  <w:style w:type="paragraph" w:styleId="Style24">
    <w:name w:val="Раздел регламента"/>
    <w:basedOn w:val="Normal"/>
    <w:qFormat/>
    <w:pPr/>
    <w:rPr/>
  </w:style>
  <w:style w:type="paragraph" w:styleId="Style25">
    <w:name w:val="Приложение к регламенту"/>
    <w:basedOn w:val="Normal"/>
    <w:qFormat/>
    <w:pPr>
      <w:jc w:val="right"/>
    </w:pPr>
    <w:rPr/>
  </w:style>
  <w:style w:type="paragraph" w:styleId="TOC2">
    <w:name w:val="TOC 2"/>
    <w:basedOn w:val="Normal"/>
    <w:next w:val="Normal"/>
    <w:autoRedefine/>
    <w:pPr>
      <w:spacing w:before="240" w:after="0"/>
    </w:pPr>
    <w:rPr>
      <w:rFonts w:cs="Calibri"/>
      <w:b/>
      <w:bCs/>
      <w:sz w:val="20"/>
      <w:szCs w:val="20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qFormat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16">
    <w:name w:val="Обычный (веб)1"/>
    <w:basedOn w:val="Normal"/>
    <w:qFormat/>
    <w:pPr>
      <w:spacing w:before="280" w:after="280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pPr>
      <w:ind w:hanging="0" w:left="1960" w:right="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pPr>
      <w:ind w:hanging="0" w:left="840" w:right="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pPr>
      <w:ind w:hanging="0" w:left="560" w:right="0"/>
    </w:pPr>
    <w:rPr>
      <w:rFonts w:cs="Calibri"/>
      <w:sz w:val="20"/>
      <w:szCs w:val="20"/>
    </w:rPr>
  </w:style>
  <w:style w:type="paragraph" w:styleId="25">
    <w:name w:val="Раздел положения 2"/>
    <w:basedOn w:val="Normal"/>
    <w:qFormat/>
    <w:pPr>
      <w:pageBreakBefore/>
      <w:numPr>
        <w:ilvl w:val="0"/>
        <w:numId w:val="0"/>
      </w:numPr>
      <w:jc w:val="both"/>
      <w:outlineLvl w:val="0"/>
    </w:pPr>
    <w:rPr>
      <w:b/>
    </w:rPr>
  </w:style>
  <w:style w:type="paragraph" w:styleId="Style26">
    <w:name w:val="Знак Знак Знак Знак Знак Знак Знак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qFormat/>
    <w:pPr>
      <w:spacing w:lineRule="auto" w:line="360"/>
    </w:pPr>
    <w:rPr>
      <w:rFonts w:eastAsia="Calibri"/>
      <w:sz w:val="24"/>
      <w:szCs w:val="24"/>
    </w:rPr>
  </w:style>
  <w:style w:type="paragraph" w:styleId="Subtitle">
    <w:name w:val="Subtitle"/>
    <w:basedOn w:val="Normal"/>
    <w:next w:val="Normal"/>
    <w:link w:val="Style2"/>
    <w:qFormat/>
    <w:pPr>
      <w:ind w:firstLine="709" w:left="1066" w:right="0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qFormat/>
    <w:pPr>
      <w:spacing w:before="0" w:after="0"/>
      <w:ind w:hanging="0" w:left="720" w:right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qFormat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qFormat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7"/>
    <w:pPr/>
    <w:rPr/>
  </w:style>
  <w:style w:type="paragraph" w:styleId="TOCHeading">
    <w:name w:val="TOC Heading"/>
    <w:basedOn w:val="Heading1"/>
    <w:next w:val="Normal"/>
    <w:qFormat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qFormat/>
    <w:pPr/>
    <w:rPr>
      <w:rFonts w:eastAsia="Calibri"/>
      <w:sz w:val="24"/>
      <w:szCs w:val="24"/>
      <w:lang w:val="x-none" w:eastAsia="x-none"/>
    </w:rPr>
  </w:style>
  <w:style w:type="paragraph" w:styleId="Style27">
    <w:name w:val="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>
    <w:name w:val="Нумерованный список ур3"/>
    <w:basedOn w:val="Normal"/>
    <w:qFormat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41">
    <w:name w:val="Маркированный список 41"/>
    <w:basedOn w:val="Normal"/>
    <w:qFormat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>
    <w:name w:val="Нумерованный список ур2"/>
    <w:basedOn w:val="Normal"/>
    <w:qFormat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>
    <w:name w:val="ConsPlusNormal"/>
    <w:qFormat/>
    <w:pPr>
      <w:widowControl w:val="false"/>
      <w:suppressAutoHyphens w:val="true"/>
      <w:overflowPunct w:val="false"/>
      <w:bidi w:val="0"/>
      <w:spacing w:before="0" w:after="0"/>
      <w:ind w:firstLine="720" w:left="0" w:right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>
    <w:name w:val="Знак Знак3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8">
    <w:name w:val="Пункт"/>
    <w:basedOn w:val="Normal"/>
    <w:qFormat/>
    <w:pPr>
      <w:widowControl w:val="false"/>
      <w:tabs>
        <w:tab w:val="clear" w:pos="708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>
    <w:name w:val="Абзац списка1"/>
    <w:basedOn w:val="Normal"/>
    <w:qFormat/>
    <w:pPr>
      <w:spacing w:lineRule="auto" w:line="276" w:before="0" w:after="200"/>
      <w:ind w:hanging="0" w:left="720" w:right="0"/>
      <w:contextualSpacing/>
    </w:pPr>
    <w:rPr>
      <w:rFonts w:ascii="Calibri" w:hAnsi="Calibri"/>
      <w:sz w:val="22"/>
      <w:szCs w:val="22"/>
      <w:lang w:eastAsia="en-US"/>
    </w:rPr>
  </w:style>
  <w:style w:type="paragraph" w:styleId="Style29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30">
    <w:name w:val="Таблица шапка"/>
    <w:basedOn w:val="Normal"/>
    <w:qFormat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31">
    <w:name w:val="Подподпункт"/>
    <w:basedOn w:val="Style23"/>
    <w:link w:val="Style9"/>
    <w:qFormat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 w:right="0"/>
    </w:pPr>
    <w:rPr>
      <w:sz w:val="26"/>
      <w:szCs w:val="26"/>
      <w:lang w:val="ru-RU" w:eastAsia="ru-RU"/>
    </w:rPr>
  </w:style>
  <w:style w:type="paragraph" w:styleId="Style32">
    <w:name w:val="УРОВЕНЬ_(а)"/>
    <w:basedOn w:val="ListParagraph"/>
    <w:qFormat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>
    <w:name w:val="УРОВЕНЬ_-"/>
    <w:basedOn w:val="ListParagraph"/>
    <w:qFormat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>
    <w:name w:val="УРОВЕНЬ_Абзац_тип2"/>
    <w:basedOn w:val="ListParagraph"/>
    <w:qFormat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>
    <w:name w:val="УРОВЕНЬ_Абзац_тип3"/>
    <w:basedOn w:val="ListParagraph"/>
    <w:link w:val="31"/>
    <w:qFormat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3">
    <w:name w:val="УРОВЕНЬ_Подпись"/>
    <w:basedOn w:val="ListParagraph"/>
    <w:qFormat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>
    <w:name w:val="Стиль Заголовок 1 + по ширине"/>
    <w:basedOn w:val="Heading1"/>
    <w:qFormat/>
    <w:pPr>
      <w:keepLines/>
      <w:tabs>
        <w:tab w:val="clear" w:pos="0"/>
        <w:tab w:val="left" w:pos="567" w:leader="none"/>
      </w:tabs>
      <w:spacing w:before="480" w:after="240"/>
      <w:ind w:hanging="567" w:left="567" w:right="0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pPr/>
    <w:rPr>
      <w:sz w:val="20"/>
      <w:szCs w:val="20"/>
    </w:rPr>
  </w:style>
  <w:style w:type="paragraph" w:styleId="28">
    <w:name w:val="Заголовок 2 КВВ"/>
    <w:basedOn w:val="Normal"/>
    <w:qFormat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4">
    <w:name w:val="Таблица текст"/>
    <w:basedOn w:val="Normal"/>
    <w:qFormat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paragraph" w:styleId="19">
    <w:name w:val="УРОВЕНЬ_1."/>
    <w:basedOn w:val="ListParagraph"/>
    <w:link w:val="12"/>
    <w:qFormat/>
    <w:pPr>
      <w:keepNext w:val="true"/>
      <w:keepLines/>
      <w:numPr>
        <w:ilvl w:val="0"/>
        <w:numId w:val="0"/>
      </w:numPr>
      <w:spacing w:lineRule="auto" w:line="276" w:before="240" w:after="120"/>
      <w:ind w:hanging="0" w:left="0" w:righ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pPr>
      <w:ind w:hanging="0" w:left="1120" w:right="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pPr>
      <w:ind w:hanging="0" w:left="1400" w:right="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pPr>
      <w:ind w:hanging="0" w:left="1680" w:right="0"/>
    </w:pPr>
    <w:rPr>
      <w:rFonts w:ascii="Calibri" w:hAnsi="Calibri" w:cs="Calibri"/>
      <w:sz w:val="20"/>
      <w:szCs w:val="20"/>
    </w:rPr>
  </w:style>
  <w:style w:type="paragraph" w:styleId="Style35">
    <w:name w:val="Содержимое врезки"/>
    <w:basedOn w:val="Normal"/>
    <w:qFormat/>
    <w:pPr/>
    <w:rPr/>
  </w:style>
  <w:style w:type="paragraph" w:styleId="Txt">
    <w:name w:val="txt"/>
    <w:basedOn w:val="Normal"/>
    <w:qFormat/>
    <w:pPr>
      <w:spacing w:lineRule="auto" w:line="276"/>
    </w:pPr>
    <w:rPr>
      <w:sz w:val="24"/>
      <w:szCs w:val="24"/>
    </w:rPr>
  </w:style>
  <w:style w:type="paragraph" w:styleId="Tabname">
    <w:name w:val="tab_name"/>
    <w:basedOn w:val="Normal"/>
    <w:qFormat/>
    <w:pPr>
      <w:keepNext w:val="true"/>
      <w:spacing w:lineRule="auto" w:line="276" w:before="240" w:after="120"/>
      <w:ind w:hanging="0" w:left="0" w:right="0"/>
      <w:jc w:val="right"/>
    </w:pPr>
    <w:rPr>
      <w:color w:val="000000"/>
      <w:sz w:val="20"/>
      <w:szCs w:val="20"/>
    </w:rPr>
  </w:style>
  <w:style w:type="paragraph" w:styleId="Rtablehead">
    <w:name w:val="r_table head"/>
    <w:basedOn w:val="Caption1"/>
    <w:qFormat/>
    <w:pPr>
      <w:spacing w:lineRule="auto" w:line="312" w:before="0" w:after="0"/>
      <w:contextualSpacing/>
      <w:jc w:val="center"/>
    </w:pPr>
    <w:rPr>
      <w:rFonts w:ascii="Times New Roman" w:hAnsi="Times New Roman"/>
      <w:iCs/>
      <w:sz w:val="20"/>
      <w:lang w:val="en-US"/>
    </w:rPr>
  </w:style>
  <w:style w:type="paragraph" w:styleId="Rtablecenter">
    <w:name w:val="r_table center"/>
    <w:basedOn w:val="Normal"/>
    <w:qFormat/>
    <w:pPr>
      <w:spacing w:lineRule="auto" w:line="276"/>
      <w:ind w:hanging="0" w:left="0" w:right="0"/>
      <w:jc w:val="center"/>
    </w:pPr>
    <w:rPr>
      <w:sz w:val="20"/>
      <w:szCs w:val="20"/>
      <w:lang w:val="en-US"/>
    </w:rPr>
  </w:style>
  <w:style w:type="paragraph" w:styleId="Rtableleft">
    <w:name w:val="r_table left"/>
    <w:basedOn w:val="Rtablecenter"/>
    <w:qFormat/>
    <w:pPr>
      <w:jc w:val="left"/>
    </w:pPr>
    <w:rPr/>
  </w:style>
  <w:style w:type="paragraph" w:styleId="Style36">
    <w:name w:val="Содержимое таблицы"/>
    <w:basedOn w:val="Normal"/>
    <w:qFormat/>
    <w:pPr>
      <w:widowControl w:val="false"/>
      <w:suppressLineNumbers/>
    </w:pPr>
    <w:rPr/>
  </w:style>
  <w:style w:type="paragraph" w:styleId="Style37">
    <w:name w:val="Заголовок таблицы"/>
    <w:basedOn w:val="Style36"/>
    <w:qFormat/>
    <w:pPr>
      <w:suppressLineNumbers/>
      <w:jc w:val="center"/>
    </w:pPr>
    <w:rPr>
      <w:b/>
      <w:bCs/>
    </w:rPr>
  </w:style>
  <w:style w:type="numbering" w:styleId="110">
    <w:name w:val="Стиль1"/>
    <w:qFormat/>
  </w:style>
  <w:style w:type="numbering" w:styleId="29">
    <w:name w:val="Стиль2"/>
    <w:qFormat/>
  </w:style>
  <w:style w:type="numbering" w:styleId="41014687731">
    <w:name w:val="4101468773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Application>AlterOffice/2026.1.0.0$Linux_X86_64 LibreOffice_project/a0185688e0f3f228c7940c57a96eaa0ebba58757</Application>
  <AppVersion>15.0000</AppVersion>
  <Pages>4</Pages>
  <Words>495</Words>
  <Characters>3302</Characters>
  <CharactersWithSpaces>3691</CharactersWithSpaces>
  <Paragraphs>100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2023-02-17T10:50:00Z</dcterms:created>
  <dc:creator>Быстров Олег Геннадьевич</dc:creator>
  <dc:description/>
  <dc:language>ru-RU</dc:language>
  <cp:lastModifiedBy>fedorovva@corp.gidroogk.com</cp:lastModifiedBy>
  <cp:lastPrinted>2006-07-26T14:04:00Z</cp:lastPrinted>
  <dcterms:modified xsi:type="dcterms:W3CDTF">2026-05-28T11:47:52Z</dcterms:modified>
  <cp:revision>50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