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header6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spacing w:lineRule="auto" w:line="276"/>
        <w:jc w:val="right"/>
        <w:rPr/>
      </w:pPr>
      <w:r>
        <w:rPr/>
        <w:t>«УТВЕРЖДАЮ»</w:t>
      </w:r>
    </w:p>
    <w:p>
      <w:pPr>
        <w:pStyle w:val="Normal"/>
        <w:keepNext w:val="true"/>
        <w:keepLines/>
        <w:spacing w:lineRule="auto" w:line="276"/>
        <w:jc w:val="right"/>
        <w:rPr/>
      </w:pPr>
      <w:r>
        <w:rPr/>
        <w:t>Главный инженер ЦЭС</w:t>
      </w:r>
    </w:p>
    <w:p>
      <w:pPr>
        <w:pStyle w:val="Normal"/>
        <w:keepNext w:val="true"/>
        <w:keepLines/>
        <w:spacing w:lineRule="auto" w:line="276"/>
        <w:jc w:val="right"/>
        <w:rPr/>
      </w:pPr>
      <w:r>
        <w:rPr/>
        <w:t>ПАО «Якутскэнерго»</w:t>
      </w:r>
    </w:p>
    <w:p>
      <w:pPr>
        <w:pStyle w:val="Normal"/>
        <w:keepNext w:val="true"/>
        <w:keepLines/>
        <w:spacing w:lineRule="auto" w:line="276"/>
        <w:jc w:val="right"/>
        <w:rPr/>
      </w:pPr>
      <w:r>
        <w:rPr/>
        <w:t>________________ М.В. Варейкис</w:t>
      </w:r>
    </w:p>
    <w:p>
      <w:pPr>
        <w:pStyle w:val="Normal"/>
        <w:keepNext w:val="true"/>
        <w:keepLines/>
        <w:spacing w:lineRule="auto" w:line="276"/>
        <w:jc w:val="right"/>
        <w:rPr/>
      </w:pPr>
      <w:r>
        <w:rPr/>
        <w:t>«___»____________2026 г.</w:t>
      </w:r>
    </w:p>
    <w:p>
      <w:pPr>
        <w:pStyle w:val="Normal"/>
        <w:keepNext w:val="true"/>
        <w:keepLines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  <w:br/>
        <w:t>на поставку с</w:t>
      </w:r>
      <w:r>
        <w:rPr>
          <w:rFonts w:eastAsia="Calibri"/>
          <w:b/>
          <w:sz w:val="24"/>
          <w:szCs w:val="24"/>
        </w:rPr>
        <w:t>илового трансформатора</w:t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color w:val="000000"/>
          <w:sz w:val="24"/>
          <w:szCs w:val="24"/>
        </w:rPr>
      </w:pPr>
      <w:r>
        <w:rPr>
          <w:rFonts w:eastAsia="Calibri"/>
          <w:b/>
          <w:color w:val="000000"/>
          <w:sz w:val="24"/>
          <w:szCs w:val="24"/>
        </w:rPr>
        <w:t>ОКПД2 27.11.43.000 Поставка силового трансформатора 1</w:t>
      </w:r>
      <w:r>
        <w:rPr>
          <w:rFonts w:eastAsia="Calibri"/>
          <w:b/>
          <w:color w:val="000000"/>
          <w:sz w:val="24"/>
          <w:szCs w:val="24"/>
        </w:rPr>
        <w:t>1</w:t>
      </w:r>
      <w:r>
        <w:rPr>
          <w:rFonts w:eastAsia="Calibri"/>
          <w:b/>
          <w:color w:val="000000"/>
          <w:sz w:val="24"/>
          <w:szCs w:val="24"/>
        </w:rPr>
        <w:t xml:space="preserve"> кВ под аварийно-восстановительные работы Центральных электрических сетей</w:t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sz w:val="26"/>
          <w:szCs w:val="26"/>
        </w:rPr>
        <w:t>Лот №</w:t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  <w:r>
        <w:br w:type="page"/>
      </w:r>
    </w:p>
    <w:p>
      <w:pPr>
        <w:pStyle w:val="Normal"/>
        <w:jc w:val="center"/>
        <w:rPr>
          <w:b/>
        </w:rPr>
      </w:pPr>
      <w:r>
        <w:rPr>
          <w:b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tabs>
              <w:tab w:val="clear" w:pos="709"/>
              <w:tab w:val="right" w:pos="9921" w:leader="dot"/>
            </w:tabs>
            <w:rPr/>
          </w:pPr>
          <w:r>
            <w:fldChar w:fldCharType="begin"/>
          </w:r>
          <w:r>
            <w:rPr>
              <w:webHidden/>
              <w:rStyle w:val="Style17"/>
              <w:vanish w:val="false"/>
            </w:rPr>
            <w:instrText xml:space="preserve"> TOC \z \o "1-4" \u \h</w:instrText>
          </w:r>
          <w:r>
            <w:rPr>
              <w:webHidden/>
              <w:rStyle w:val="Style17"/>
              <w:vanish w:val="false"/>
            </w:rPr>
            <w:fldChar w:fldCharType="separate"/>
          </w:r>
          <w:hyperlink w:anchor="__RefHeading___Toc37471_2426627006">
            <w:r>
              <w:rPr>
                <w:webHidden/>
                <w:rStyle w:val="Style17"/>
                <w:vanish w:val="false"/>
              </w:rPr>
              <w:t>1. Общие сведения</w:t>
              <w:tab/>
              <w:t>3</w:t>
            </w:r>
          </w:hyperlink>
        </w:p>
        <w:p>
          <w:pPr>
            <w:pStyle w:val="TOC4"/>
            <w:tabs>
              <w:tab w:val="clear" w:pos="709"/>
              <w:tab w:val="right" w:pos="9921" w:leader="dot"/>
            </w:tabs>
            <w:rPr/>
          </w:pPr>
          <w:hyperlink w:anchor="__RefHeading___Toc37473_2426627006">
            <w:r>
              <w:rPr>
                <w:webHidden/>
                <w:rStyle w:val="Style17"/>
                <w:vanish w:val="false"/>
              </w:rPr>
              <w:t>1.1. Обозначения и сокращения</w:t>
              <w:tab/>
              <w:t>3</w:t>
            </w:r>
          </w:hyperlink>
        </w:p>
        <w:p>
          <w:pPr>
            <w:pStyle w:val="TOC4"/>
            <w:tabs>
              <w:tab w:val="clear" w:pos="709"/>
              <w:tab w:val="right" w:pos="9921" w:leader="dot"/>
            </w:tabs>
            <w:rPr/>
          </w:pPr>
          <w:hyperlink w:anchor="__RefHeading___Toc37475_2426627006">
            <w:r>
              <w:rPr>
                <w:webHidden/>
                <w:rStyle w:val="Style17"/>
                <w:vanish w:val="false"/>
              </w:rPr>
              <w:t>1.2. Наименование закупаемой продукции</w:t>
              <w:tab/>
              <w:t>5</w:t>
            </w:r>
          </w:hyperlink>
        </w:p>
        <w:p>
          <w:pPr>
            <w:pStyle w:val="TOC4"/>
            <w:tabs>
              <w:tab w:val="clear" w:pos="709"/>
              <w:tab w:val="right" w:pos="9921" w:leader="dot"/>
            </w:tabs>
            <w:rPr/>
          </w:pPr>
          <w:hyperlink w:anchor="__RefHeading___Toc37477_2426627006">
            <w:r>
              <w:rPr>
                <w:webHidden/>
                <w:rStyle w:val="Style17"/>
                <w:vanish w:val="false"/>
              </w:rPr>
              <w:t>1.3. Цель использования закупаемой продукции</w:t>
              <w:tab/>
              <w:t>5</w:t>
            </w:r>
          </w:hyperlink>
        </w:p>
        <w:p>
          <w:pPr>
            <w:pStyle w:val="TOC4"/>
            <w:tabs>
              <w:tab w:val="clear" w:pos="709"/>
              <w:tab w:val="right" w:pos="9921" w:leader="dot"/>
            </w:tabs>
            <w:rPr/>
          </w:pPr>
          <w:hyperlink w:anchor="__RefHeading___Toc37479_2426627006">
            <w:r>
              <w:rPr>
                <w:webHidden/>
                <w:rStyle w:val="Style17"/>
                <w:vanish w:val="false"/>
              </w:rPr>
              <w:t>1.4. Иные требования и сведения общего характера</w:t>
              <w:tab/>
              <w:t>5</w:t>
            </w:r>
          </w:hyperlink>
        </w:p>
        <w:p>
          <w:pPr>
            <w:pStyle w:val="TOC3"/>
            <w:tabs>
              <w:tab w:val="clear" w:pos="709"/>
              <w:tab w:val="right" w:pos="9921" w:leader="dot"/>
            </w:tabs>
            <w:rPr/>
          </w:pPr>
          <w:hyperlink w:anchor="__RefHeading___Toc37481_2426627006">
            <w:r>
              <w:rPr>
                <w:webHidden/>
                <w:rStyle w:val="Style17"/>
                <w:vanish w:val="false"/>
              </w:rPr>
              <w:t>1.4.1. Требования к участнику закупки, признанным победителем</w:t>
              <w:tab/>
              <w:t>5</w:t>
            </w:r>
          </w:hyperlink>
        </w:p>
        <w:p>
          <w:pPr>
            <w:pStyle w:val="TOC1"/>
            <w:tabs>
              <w:tab w:val="clear" w:pos="709"/>
              <w:tab w:val="right" w:pos="9921" w:leader="dot"/>
            </w:tabs>
            <w:rPr/>
          </w:pPr>
          <w:hyperlink w:anchor="__RefHeading___Toc37483_2426627006">
            <w:r>
              <w:rPr>
                <w:webHidden/>
                <w:rStyle w:val="Style17"/>
                <w:vanish w:val="false"/>
              </w:rPr>
              <w:t>2. Требования к продукции</w:t>
              <w:tab/>
              <w:t>5</w:t>
            </w:r>
          </w:hyperlink>
        </w:p>
        <w:p>
          <w:pPr>
            <w:pStyle w:val="TOC4"/>
            <w:tabs>
              <w:tab w:val="clear" w:pos="709"/>
              <w:tab w:val="right" w:pos="9921" w:leader="dot"/>
            </w:tabs>
            <w:rPr/>
          </w:pPr>
          <w:hyperlink w:anchor="__RefHeading___Toc37485_2426627006">
            <w:r>
              <w:rPr>
                <w:webHidden/>
                <w:rStyle w:val="Style17"/>
                <w:vanish w:val="false"/>
              </w:rPr>
              <w:t>2.1. Требования к объемам и срокам поставки</w:t>
              <w:tab/>
              <w:t>5</w:t>
            </w:r>
          </w:hyperlink>
        </w:p>
        <w:p>
          <w:pPr>
            <w:pStyle w:val="TOC3"/>
            <w:tabs>
              <w:tab w:val="clear" w:pos="709"/>
              <w:tab w:val="right" w:pos="9921" w:leader="dot"/>
            </w:tabs>
            <w:rPr/>
          </w:pPr>
          <w:hyperlink w:anchor="__RefHeading___Toc37487_2426627006">
            <w:r>
              <w:rPr>
                <w:webHidden/>
                <w:rStyle w:val="Style17"/>
                <w:vanish w:val="false"/>
              </w:rPr>
              <w:t>2.1.1. Перечень и объем закупаемой продукции</w:t>
              <w:tab/>
              <w:t>5</w:t>
            </w:r>
          </w:hyperlink>
        </w:p>
        <w:p>
          <w:pPr>
            <w:pStyle w:val="TOC1"/>
            <w:tabs>
              <w:tab w:val="clear" w:pos="709"/>
              <w:tab w:val="right" w:pos="9921" w:leader="dot"/>
            </w:tabs>
            <w:rPr/>
          </w:pPr>
          <w:hyperlink w:anchor="__RefHeading___Toc37489_2426627006">
            <w:r>
              <w:rPr>
                <w:webHidden/>
                <w:rStyle w:val="Style17"/>
                <w:vanish w:val="false"/>
              </w:rPr>
              <w:t>Таблица 1.1 Перечень и объем закупаемой продукции</w:t>
              <w:tab/>
              <w:t>5</w:t>
            </w:r>
          </w:hyperlink>
        </w:p>
        <w:p>
          <w:pPr>
            <w:pStyle w:val="TOC3"/>
            <w:tabs>
              <w:tab w:val="clear" w:pos="709"/>
              <w:tab w:val="right" w:pos="9921" w:leader="dot"/>
            </w:tabs>
            <w:rPr/>
          </w:pPr>
          <w:hyperlink w:anchor="__RefHeading___Toc37491_2426627006">
            <w:r>
              <w:rPr>
                <w:webHidden/>
                <w:rStyle w:val="Style17"/>
                <w:vanish w:val="false"/>
              </w:rPr>
              <w:t>2.1.2. Требования к срокам поставки продукции и оказания сопутствующих услуг</w:t>
              <w:tab/>
              <w:t>5</w:t>
            </w:r>
          </w:hyperlink>
        </w:p>
        <w:p>
          <w:pPr>
            <w:pStyle w:val="TOC1"/>
            <w:tabs>
              <w:tab w:val="clear" w:pos="709"/>
              <w:tab w:val="right" w:pos="9921" w:leader="dot"/>
            </w:tabs>
            <w:rPr/>
          </w:pPr>
          <w:hyperlink w:anchor="__RefHeading___Toc37493_2426627006">
            <w:r>
              <w:rPr>
                <w:webHidden/>
                <w:rStyle w:val="Style17"/>
                <w:vanish w:val="false"/>
              </w:rPr>
              <w:t>Таблица 2.1 Требования по срокам поставки продукции</w:t>
              <w:tab/>
              <w:t>5</w:t>
            </w:r>
          </w:hyperlink>
        </w:p>
        <w:p>
          <w:pPr>
            <w:pStyle w:val="TOC4"/>
            <w:tabs>
              <w:tab w:val="clear" w:pos="709"/>
              <w:tab w:val="right" w:pos="9921" w:leader="dot"/>
            </w:tabs>
            <w:rPr/>
          </w:pPr>
          <w:hyperlink w:anchor="__RefHeading___Toc37495_2426627006">
            <w:r>
              <w:rPr>
                <w:webHidden/>
                <w:rStyle w:val="Style17"/>
                <w:vanish w:val="false"/>
              </w:rPr>
              <w:t>2.2. Требования к качеству продукции</w:t>
              <w:tab/>
              <w:t>6</w:t>
            </w:r>
          </w:hyperlink>
        </w:p>
        <w:p>
          <w:pPr>
            <w:pStyle w:val="TOC1"/>
            <w:tabs>
              <w:tab w:val="clear" w:pos="709"/>
              <w:tab w:val="right" w:pos="9921" w:leader="dot"/>
            </w:tabs>
            <w:rPr/>
          </w:pPr>
          <w:hyperlink w:anchor="__RefHeading___Toc37497_2426627006">
            <w:r>
              <w:rPr>
                <w:webHidden/>
                <w:rStyle w:val="Style17"/>
                <w:vanish w:val="false"/>
              </w:rPr>
              <w:t>Таблица 3. Требования к продукции</w:t>
              <w:tab/>
              <w:t>6</w:t>
            </w:r>
          </w:hyperlink>
        </w:p>
        <w:p>
          <w:pPr>
            <w:pStyle w:val="TOC3"/>
            <w:tabs>
              <w:tab w:val="clear" w:pos="709"/>
              <w:tab w:val="right" w:pos="9921" w:leader="dot"/>
            </w:tabs>
            <w:rPr/>
          </w:pPr>
          <w:hyperlink w:anchor="__RefHeading___Toc37499_2426627006">
            <w:r>
              <w:rPr>
                <w:webHidden/>
                <w:rStyle w:val="Style17"/>
                <w:vanish w:val="false"/>
              </w:rPr>
              <w:t>2.2.1. В составе заявки необходимо предоставить</w:t>
              <w:tab/>
              <w:t>17</w:t>
            </w:r>
          </w:hyperlink>
        </w:p>
        <w:p>
          <w:pPr>
            <w:pStyle w:val="TOC1"/>
            <w:tabs>
              <w:tab w:val="clear" w:pos="709"/>
              <w:tab w:val="right" w:pos="9921" w:leader="dot"/>
            </w:tabs>
            <w:rPr/>
          </w:pPr>
          <w:hyperlink w:anchor="__RefHeading___Toc37501_2426627006">
            <w:r>
              <w:rPr>
                <w:webHidden/>
                <w:rStyle w:val="Style17"/>
                <w:vanish w:val="false"/>
              </w:rPr>
              <w:t>3. Приложения</w:t>
              <w:tab/>
              <w:t>20</w:t>
            </w:r>
          </w:hyperlink>
          <w:r>
            <w:rPr>
              <w:rStyle w:val="Style17"/>
              <w:vanish w:val="false"/>
            </w:rPr>
            <w:fldChar w:fldCharType="end"/>
          </w:r>
        </w:p>
      </w:sdtContent>
    </w:sdt>
    <w:p>
      <w:pPr>
        <w:pStyle w:val="TOC1"/>
        <w:tabs>
          <w:tab w:val="clear" w:pos="709"/>
          <w:tab w:val="left" w:pos="560" w:leader="none"/>
          <w:tab w:val="right" w:pos="9911" w:leader="dot"/>
        </w:tabs>
        <w:rPr>
          <w:rFonts w:ascii="Calibri" w:hAnsi="Calibri" w:eastAsia="" w:cs="" w:asciiTheme="minorHAnsi" w:cstheme="minorBidi" w:eastAsiaTheme="minorEastAsia" w:hAnsiTheme="minorHAnsi"/>
          <w:b w:val="false"/>
          <w:bCs w:val="false"/>
          <w:sz w:val="22"/>
          <w:szCs w:val="22"/>
        </w:rPr>
      </w:pPr>
      <w:r>
        <w:rPr>
          <w:rFonts w:eastAsia="" w:cs="" w:cstheme="minorBidi" w:eastAsiaTheme="minorEastAsia" w:ascii="Calibri" w:hAnsi="Calibri"/>
          <w:b w:val="false"/>
          <w:bCs w:val="false"/>
          <w:sz w:val="22"/>
          <w:szCs w:val="22"/>
        </w:rPr>
      </w:r>
    </w:p>
    <w:p>
      <w:pPr>
        <w:pStyle w:val="TOC1"/>
        <w:tabs>
          <w:tab w:val="clear" w:pos="709"/>
          <w:tab w:val="left" w:pos="560" w:leader="none"/>
          <w:tab w:val="right" w:pos="9911" w:leader="dot"/>
        </w:tabs>
        <w:rPr>
          <w:rFonts w:ascii="Calibri" w:hAnsi="Calibri" w:eastAsia="" w:cs="" w:asciiTheme="minorHAnsi" w:cstheme="minorBidi" w:eastAsiaTheme="minorEastAsia" w:hAnsiTheme="minorHAnsi"/>
          <w:b w:val="false"/>
          <w:bCs w:val="false"/>
          <w:sz w:val="22"/>
          <w:szCs w:val="22"/>
        </w:rPr>
      </w:pPr>
      <w:r>
        <w:rPr>
          <w:rFonts w:eastAsia="" w:cs="" w:cstheme="minorBidi" w:eastAsiaTheme="minorEastAsia" w:ascii="Calibri" w:hAnsi="Calibri"/>
          <w:b w:val="false"/>
          <w:bCs w:val="false"/>
          <w:sz w:val="22"/>
          <w:szCs w:val="22"/>
        </w:rPr>
      </w:r>
    </w:p>
    <w:p>
      <w:pPr>
        <w:pStyle w:val="Heading2"/>
        <w:numPr>
          <w:ilvl w:val="0"/>
        </w:numPr>
        <w:tabs>
          <w:tab w:val="clear" w:pos="0"/>
        </w:tabs>
        <w:ind w:left="432" w:hanging="432"/>
        <w:rPr/>
      </w:pPr>
      <w:r>
        <w:rPr/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</w:r>
      <w:r>
        <w:br w:type="page"/>
      </w:r>
    </w:p>
    <w:p>
      <w:pPr>
        <w:pStyle w:val="Heading1"/>
        <w:numPr>
          <w:ilvl w:val="0"/>
          <w:numId w:val="3"/>
        </w:numPr>
        <w:ind w:left="426" w:hanging="360"/>
        <w:rPr/>
      </w:pPr>
      <w:bookmarkStart w:id="0" w:name="__RefHeading___Toc37471_2426627006"/>
      <w:bookmarkStart w:id="1" w:name="_Toc51339692"/>
      <w:bookmarkStart w:id="2" w:name="_Toc205370110"/>
      <w:bookmarkEnd w:id="0"/>
      <w:r>
        <w:rPr/>
        <w:t>Общие сведения</w:t>
      </w:r>
      <w:bookmarkEnd w:id="1"/>
      <w:bookmarkEnd w:id="2"/>
    </w:p>
    <w:p>
      <w:pPr>
        <w:pStyle w:val="Heading4"/>
        <w:numPr>
          <w:ilvl w:val="1"/>
          <w:numId w:val="3"/>
        </w:numPr>
        <w:rPr>
          <w:rStyle w:val="Style8"/>
          <w:b/>
          <w:i w:val="false"/>
          <w:i w:val="false"/>
          <w:shd w:fill="auto" w:val="clear"/>
        </w:rPr>
      </w:pPr>
      <w:bookmarkStart w:id="3" w:name="__RefHeading___Toc37473_2426627006"/>
      <w:bookmarkStart w:id="4" w:name="_Toc46743505"/>
      <w:bookmarkStart w:id="5" w:name="_Toc205370111"/>
      <w:bookmarkEnd w:id="3"/>
      <w:r>
        <w:rPr/>
        <w:t>Обозначения и сокращения</w:t>
      </w:r>
      <w:bookmarkEnd w:id="4"/>
      <w:bookmarkEnd w:id="5"/>
    </w:p>
    <w:tbl>
      <w:tblPr>
        <w:tblW w:w="978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85"/>
        <w:gridCol w:w="7997"/>
      </w:tblGrid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государственный стандарт;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12.2.007.3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Система стандартов безопасности труда. электротехнические устройства на напряжение свыше 1000 В. Требования безопасности;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52719-2007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Трансформаторы силовые. Общие технические условия;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54827-2011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Трансформаторы сухие. Общие технические условия;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15150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12969-67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Таблички для машин и приборов. Технические требования;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12971-67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Таблички прямоугольные для машин и приборов.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Размеры;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14192-77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Маркировка грузов;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10198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Ящики деревянные для грузов массой св. 200 до 20000 кг. Общие технические условия;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2991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Ящики дощатые неразборные для грузов массой до 500 кг. Общие технические условия;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23216-78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Изделия электротехнические. Хранение, транспортирование, временная противокоррозионная защита, упаковка. Общие требования и методы испытаний;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2.610-2019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Единая система конструкторской документации. Правила выполнения эксплуатационных документов;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56532-2015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Оценка соответствия. Рекомендации по принятию декларации о соответствии продукции установленным требованиям;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30546.1-98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Общие требования к машинам, приборам и другим техническим изделиям и методы расчета их сложных конструкций в части сейсмостойкости;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rStyle w:val="Style8"/>
                <w:b w:val="false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ЗИП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rStyle w:val="Style8"/>
                <w:b w:val="false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запасные части, инструмент и принадлежности;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РПН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регулирование под напряжением;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ПБВ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переключатель без возбуждения;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КЗ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короткое замыкание;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НТД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нормативно-техническая документация;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ТУ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технические условия;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rStyle w:val="Style8"/>
                <w:b w:val="false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УХЛ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rStyle w:val="Style8"/>
                <w:b w:val="false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климатическое исполнение «умеренный и холодный климат»;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климатическое исполнение «умеренный»;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MSK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rStyle w:val="Style8"/>
                <w:b w:val="false"/>
                <w:i w:val="false"/>
                <w:i w:val="false"/>
                <w:iCs/>
                <w:sz w:val="22"/>
                <w:szCs w:val="22"/>
                <w:shd w:fill="auto" w:val="clear"/>
              </w:rPr>
            </w:pPr>
            <w:r>
              <w:rPr>
                <w:rStyle w:val="Style8"/>
                <w:b w:val="false"/>
                <w:i w:val="false"/>
                <w:iCs/>
                <w:sz w:val="22"/>
                <w:szCs w:val="22"/>
                <w:shd w:fill="auto" w:val="clear"/>
              </w:rPr>
              <w:t>шкала интенсивности землетрясений Медведева – Шпонхойера – Карника.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iCs/>
                <w:sz w:val="22"/>
                <w:szCs w:val="22"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IP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pacing w:before="60" w:after="60"/>
              <w:jc w:val="both"/>
              <w:rPr>
                <w:rStyle w:val="Style8"/>
                <w:b w:val="false"/>
                <w:i w:val="false"/>
                <w:i w:val="false"/>
                <w:iCs/>
                <w:sz w:val="22"/>
                <w:szCs w:val="22"/>
                <w:shd w:fill="auto" w:val="clear"/>
              </w:rPr>
            </w:pPr>
            <w:r>
              <w:rPr>
                <w:rStyle w:val="Style8"/>
                <w:b w:val="false"/>
                <w:i w:val="false"/>
                <w:iCs/>
                <w:sz w:val="22"/>
                <w:szCs w:val="22"/>
                <w:shd w:fill="auto" w:val="clear"/>
              </w:rPr>
              <w:t>Система кодификации, применяемая для обозначения степеней защиты, обеспечиваемых оболочкой, от доступа к опасным частям, попадания внешних твердых предметов, воды, а также для предоставления дополнительной информации, связанной с такой защитой.</w:t>
            </w:r>
          </w:p>
        </w:tc>
      </w:tr>
    </w:tbl>
    <w:p>
      <w:pPr>
        <w:pStyle w:val="Heading4"/>
        <w:widowControl/>
        <w:numPr>
          <w:ilvl w:val="0"/>
          <w:numId w:val="0"/>
        </w:numPr>
        <w:suppressAutoHyphens w:val="true"/>
        <w:ind w:left="432" w:hanging="432"/>
        <w:jc w:val="both"/>
        <w:rPr/>
      </w:pPr>
      <w:r>
        <w:rPr/>
      </w:r>
      <w:r>
        <w:br w:type="page"/>
      </w:r>
    </w:p>
    <w:p>
      <w:pPr>
        <w:pStyle w:val="Heading4"/>
        <w:numPr>
          <w:ilvl w:val="1"/>
          <w:numId w:val="3"/>
        </w:numPr>
        <w:rPr/>
      </w:pPr>
      <w:bookmarkStart w:id="6" w:name="__RefHeading___Toc37475_2426627006"/>
      <w:bookmarkStart w:id="7" w:name="_Toc205370112"/>
      <w:bookmarkEnd w:id="6"/>
      <w:r>
        <w:rPr/>
        <w:t>Наименование закупаемой продукции</w:t>
      </w:r>
      <w:bookmarkEnd w:id="7"/>
    </w:p>
    <w:p>
      <w:pPr>
        <w:pStyle w:val="Normal"/>
        <w:spacing w:lineRule="auto" w:line="276"/>
        <w:jc w:val="both"/>
        <w:rPr/>
      </w:pPr>
      <w:r>
        <w:rPr>
          <w:rFonts w:eastAsia="Calibri"/>
          <w:sz w:val="24"/>
          <w:szCs w:val="24"/>
          <w:lang w:eastAsia="x-none"/>
        </w:rPr>
        <w:t>«Поставка силового трансформатора 11 кВ под аварийно-восстановительные работы Центральных электрических сетей»</w:t>
      </w:r>
    </w:p>
    <w:p>
      <w:pPr>
        <w:pStyle w:val="Heading4"/>
        <w:numPr>
          <w:ilvl w:val="1"/>
          <w:numId w:val="3"/>
        </w:numPr>
        <w:rPr/>
      </w:pPr>
      <w:bookmarkStart w:id="8" w:name="__RefHeading___Toc37477_2426627006"/>
      <w:bookmarkStart w:id="9" w:name="_Toc205370113"/>
      <w:bookmarkStart w:id="10" w:name="_Toc46743507"/>
      <w:bookmarkEnd w:id="8"/>
      <w:r>
        <w:rPr/>
        <w:t xml:space="preserve">Цель </w:t>
      </w:r>
      <w:bookmarkEnd w:id="10"/>
      <w:r>
        <w:rPr/>
        <w:t>использования закупаемой продукции</w:t>
      </w:r>
      <w:bookmarkEnd w:id="9"/>
      <w:r>
        <w:rPr/>
        <w:t xml:space="preserve"> </w:t>
      </w:r>
    </w:p>
    <w:p>
      <w:pPr>
        <w:pStyle w:val="Normal"/>
        <w:widowControl w:val="false"/>
        <w:tabs>
          <w:tab w:val="clear" w:pos="709"/>
          <w:tab w:val="left" w:pos="426" w:leader="none"/>
        </w:tabs>
        <w:spacing w:lineRule="auto" w:line="276" w:before="120" w:after="240"/>
        <w:jc w:val="both"/>
        <w:rPr>
          <w:rStyle w:val="Style8"/>
          <w:b w:val="false"/>
          <w:bCs/>
          <w:sz w:val="24"/>
          <w:szCs w:val="24"/>
        </w:rPr>
      </w:pPr>
      <w:r>
        <w:rPr>
          <w:rFonts w:eastAsia="Calibri"/>
          <w:sz w:val="24"/>
          <w:szCs w:val="24"/>
          <w:lang w:eastAsia="x-none"/>
        </w:rPr>
        <w:t>Силовой трансформатор 11 кВ для ремонтной программы с целью обеспечения надежности электроснабжения потребителей Центральных электрических сетей Республики Саха (Якутия)</w:t>
      </w:r>
    </w:p>
    <w:p>
      <w:pPr>
        <w:pStyle w:val="Heading4"/>
        <w:numPr>
          <w:ilvl w:val="1"/>
          <w:numId w:val="3"/>
        </w:numPr>
        <w:rPr/>
      </w:pPr>
      <w:bookmarkStart w:id="11" w:name="__RefHeading___Toc37479_2426627006"/>
      <w:bookmarkStart w:id="12" w:name="_Toc205370114"/>
      <w:bookmarkStart w:id="13" w:name="_Hlk48209761"/>
      <w:bookmarkEnd w:id="11"/>
      <w:bookmarkEnd w:id="13"/>
      <w:r>
        <w:rPr/>
        <w:t>Иные требования и сведения общего характера</w:t>
      </w:r>
      <w:bookmarkEnd w:id="12"/>
      <w:r>
        <w:rPr/>
        <w:t xml:space="preserve"> </w:t>
      </w:r>
    </w:p>
    <w:p>
      <w:pPr>
        <w:pStyle w:val="Heading3"/>
        <w:numPr>
          <w:ilvl w:val="2"/>
          <w:numId w:val="3"/>
        </w:numPr>
        <w:rPr/>
      </w:pPr>
      <w:bookmarkStart w:id="14" w:name="__RefHeading___Toc37481_2426627006"/>
      <w:bookmarkStart w:id="15" w:name="_Toc205370115"/>
      <w:bookmarkEnd w:id="14"/>
      <w:r>
        <w:rPr/>
        <w:t>Требования к участнику закупки, признанным победителем</w:t>
      </w:r>
      <w:bookmarkEnd w:id="15"/>
    </w:p>
    <w:p>
      <w:pPr>
        <w:pStyle w:val="Normal"/>
        <w:widowControl w:val="false"/>
        <w:shd w:val="clear" w:color="auto" w:fill="FFFFFF"/>
        <w:spacing w:lineRule="auto" w:line="276" w:before="0" w:after="360"/>
        <w:jc w:val="both"/>
        <w:rPr>
          <w:rStyle w:val="Style8"/>
          <w:b w:val="false"/>
          <w:bCs/>
          <w:sz w:val="24"/>
          <w:szCs w:val="24"/>
        </w:rPr>
      </w:pPr>
      <w:r>
        <w:rPr>
          <w:sz w:val="24"/>
          <w:szCs w:val="24"/>
        </w:rPr>
        <w:t>Участник</w:t>
      </w:r>
      <w:r>
        <w:rPr>
          <w:rFonts w:eastAsia="Lucida Sans Unicode"/>
          <w:bCs/>
          <w:kern w:val="2"/>
          <w:sz w:val="24"/>
          <w:szCs w:val="24"/>
        </w:rPr>
        <w:t xml:space="preserve">, признанный победителем закупочной процедуры, в течение 3 рабочих дней с даты официального размещения Организатором итогового протокола по результатам закупки (до заключения договора) должен предоставить </w:t>
      </w:r>
      <w:r>
        <w:rPr>
          <w:sz w:val="24"/>
          <w:szCs w:val="24"/>
        </w:rPr>
        <w:t>Письмо – подтверждение завода-изготовителя о согласии на изготовление силовых трансформаторов с указанием конкретных сроков изготовления и предлагаемых гарантийных сроков (в произвольной форме).</w:t>
      </w:r>
    </w:p>
    <w:p>
      <w:pPr>
        <w:pStyle w:val="Heading1"/>
        <w:numPr>
          <w:ilvl w:val="0"/>
          <w:numId w:val="3"/>
        </w:numPr>
        <w:ind w:left="426" w:hanging="360"/>
        <w:rPr>
          <w:caps/>
        </w:rPr>
      </w:pPr>
      <w:bookmarkStart w:id="16" w:name="__RefHeading___Toc37483_2426627006"/>
      <w:bookmarkStart w:id="17" w:name="_Toc51339693"/>
      <w:bookmarkStart w:id="18" w:name="_Toc205370116"/>
      <w:bookmarkEnd w:id="16"/>
      <w:r>
        <w:rPr/>
        <w:t>Требования к продукции</w:t>
      </w:r>
      <w:bookmarkEnd w:id="17"/>
      <w:bookmarkEnd w:id="18"/>
    </w:p>
    <w:p>
      <w:pPr>
        <w:pStyle w:val="Heading4"/>
        <w:numPr>
          <w:ilvl w:val="1"/>
          <w:numId w:val="3"/>
        </w:numPr>
        <w:rPr/>
      </w:pPr>
      <w:bookmarkStart w:id="19" w:name="__RefHeading___Toc37485_2426627006"/>
      <w:bookmarkStart w:id="20" w:name="_Toc205370117"/>
      <w:bookmarkEnd w:id="19"/>
      <w:r>
        <w:rPr/>
        <w:t>Требования к объемам и срокам поставки</w:t>
      </w:r>
      <w:bookmarkEnd w:id="20"/>
    </w:p>
    <w:p>
      <w:pPr>
        <w:pStyle w:val="Heading3"/>
        <w:numPr>
          <w:ilvl w:val="2"/>
          <w:numId w:val="3"/>
        </w:numPr>
        <w:rPr/>
      </w:pPr>
      <w:bookmarkStart w:id="21" w:name="__RefHeading___Toc37487_2426627006"/>
      <w:bookmarkStart w:id="22" w:name="_Toc205370118"/>
      <w:bookmarkEnd w:id="21"/>
      <w:r>
        <w:rPr/>
        <w:t>Перечень и объем закупаемой продукции</w:t>
      </w:r>
      <w:bookmarkEnd w:id="22"/>
    </w:p>
    <w:p>
      <w:pPr>
        <w:pStyle w:val="Style38"/>
        <w:numPr>
          <w:ilvl w:val="0"/>
          <w:numId w:val="0"/>
        </w:numPr>
        <w:spacing w:before="0" w:after="113"/>
        <w:ind w:left="0" w:hanging="0"/>
        <w:outlineLvl w:val="0"/>
        <w:rPr/>
      </w:pPr>
      <w:bookmarkStart w:id="23" w:name="__RefHeading___Toc37489_2426627006"/>
      <w:bookmarkStart w:id="24" w:name="_Toc205370119"/>
      <w:bookmarkStart w:id="25" w:name="_Toc51339695"/>
      <w:bookmarkEnd w:id="23"/>
      <w:r>
        <w:rPr/>
        <w:t xml:space="preserve">Таблица 1.1 Перечень </w:t>
      </w:r>
      <w:bookmarkEnd w:id="25"/>
      <w:r>
        <w:rPr/>
        <w:t>и объем закупаемой продукции</w:t>
      </w:r>
      <w:bookmarkEnd w:id="24"/>
    </w:p>
    <w:tbl>
      <w:tblPr>
        <w:tblW w:w="5000" w:type="pct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809"/>
        <w:gridCol w:w="3554"/>
        <w:gridCol w:w="948"/>
        <w:gridCol w:w="814"/>
        <w:gridCol w:w="1492"/>
        <w:gridCol w:w="2303"/>
      </w:tblGrid>
      <w:tr>
        <w:trPr/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ОКПД2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законодательства о национальном режиме</w:t>
            </w:r>
          </w:p>
        </w:tc>
      </w:tr>
      <w:tr>
        <w:trPr/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>
        <w:trPr>
          <w:trHeight w:val="945" w:hRule="atLeast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Трансформатор силовой ТСКС-40/145 11/0,4 кВ УЗ в комплекте с трансформаторами тока и выкатным элементом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шт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27.11.43.000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Установлен режим преимущества закупки Российской продукции</w:t>
            </w:r>
          </w:p>
        </w:tc>
      </w:tr>
    </w:tbl>
    <w:p>
      <w:pPr>
        <w:pStyle w:val="Heading3"/>
        <w:numPr>
          <w:ilvl w:val="2"/>
          <w:numId w:val="3"/>
        </w:numPr>
        <w:rPr/>
      </w:pPr>
      <w:bookmarkStart w:id="26" w:name="__RefHeading___Toc37491_2426627006"/>
      <w:bookmarkStart w:id="27" w:name="_Toc205370120"/>
      <w:bookmarkStart w:id="28" w:name="_Toc51339696"/>
      <w:bookmarkEnd w:id="26"/>
      <w:r>
        <w:rPr/>
        <w:t xml:space="preserve">Требования </w:t>
      </w:r>
      <w:bookmarkEnd w:id="28"/>
      <w:r>
        <w:rPr/>
        <w:t>к срокам поставки продукции и оказания сопутствующих услуг</w:t>
      </w:r>
      <w:bookmarkEnd w:id="27"/>
    </w:p>
    <w:p>
      <w:pPr>
        <w:pStyle w:val="Style38"/>
        <w:numPr>
          <w:ilvl w:val="0"/>
          <w:numId w:val="0"/>
        </w:numPr>
        <w:spacing w:before="0" w:after="113"/>
        <w:ind w:left="0" w:hanging="0"/>
        <w:outlineLvl w:val="0"/>
        <w:rPr/>
      </w:pPr>
      <w:bookmarkStart w:id="29" w:name="__RefHeading___Toc37493_2426627006"/>
      <w:bookmarkStart w:id="30" w:name="_Toc205370121"/>
      <w:bookmarkStart w:id="31" w:name="_Toc51339697"/>
      <w:bookmarkStart w:id="32" w:name="_Toc50125127"/>
      <w:bookmarkStart w:id="33" w:name="_Toc50125126"/>
      <w:bookmarkEnd w:id="29"/>
      <w:bookmarkEnd w:id="33"/>
      <w:r>
        <w:rPr/>
        <w:t xml:space="preserve">Таблица 2.1 </w:t>
      </w:r>
      <w:bookmarkStart w:id="34" w:name="_Hlk50465284"/>
      <w:r>
        <w:rPr/>
        <w:t xml:space="preserve">Требования по срокам </w:t>
      </w:r>
      <w:bookmarkEnd w:id="31"/>
      <w:bookmarkEnd w:id="32"/>
      <w:bookmarkEnd w:id="34"/>
      <w:r>
        <w:rPr/>
        <w:t>поставки продукции</w:t>
      </w:r>
      <w:bookmarkEnd w:id="30"/>
      <w:r>
        <w:rPr/>
        <w:t xml:space="preserve"> </w:t>
      </w:r>
    </w:p>
    <w:tbl>
      <w:tblPr>
        <w:tblW w:w="5000" w:type="pct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40"/>
        <w:gridCol w:w="2895"/>
        <w:gridCol w:w="3030"/>
        <w:gridCol w:w="3155"/>
      </w:tblGrid>
      <w:tr>
        <w:trPr/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 / партии продукции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поставки продукции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поставки продукции</w:t>
            </w:r>
          </w:p>
        </w:tc>
      </w:tr>
      <w:tr>
        <w:trPr/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2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2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/>
              <w:t>1.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Трансформатор силовой ТСКС-40/145 11/0,4 кВ УЗ </w:t>
            </w:r>
            <w:r>
              <w:rPr>
                <w:bCs/>
                <w:color w:val="000000"/>
                <w:sz w:val="24"/>
                <w:szCs w:val="28"/>
              </w:rPr>
              <w:t>в комплекте с трансформаторами тока и выкатным элементом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  <w:szCs w:val="24"/>
              </w:rPr>
              <w:t>С даты подписания договора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90 календарных дней с даты заключения договора</w:t>
            </w:r>
          </w:p>
        </w:tc>
      </w:tr>
    </w:tbl>
    <w:p>
      <w:pPr>
        <w:sectPr>
          <w:headerReference w:type="even" r:id="rId2"/>
          <w:headerReference w:type="default" r:id="rId3"/>
          <w:headerReference w:type="first" r:id="rId4"/>
          <w:footerReference w:type="default" r:id="rId5"/>
          <w:type w:val="nextPage"/>
          <w:pgSz w:w="11906" w:h="16838"/>
          <w:pgMar w:left="1134" w:right="851" w:gutter="0" w:header="680" w:top="1134" w:footer="737" w:bottom="992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Heading4"/>
        <w:numPr>
          <w:ilvl w:val="1"/>
          <w:numId w:val="3"/>
        </w:numPr>
        <w:rPr/>
      </w:pPr>
      <w:bookmarkStart w:id="35" w:name="__RefHeading___Toc37495_2426627006"/>
      <w:bookmarkStart w:id="36" w:name="_Toc51339698"/>
      <w:bookmarkStart w:id="37" w:name="_Toc205370122"/>
      <w:bookmarkStart w:id="38" w:name="_Toc46743511"/>
      <w:bookmarkEnd w:id="35"/>
      <w:r>
        <w:rPr/>
        <w:t xml:space="preserve">Требования к </w:t>
      </w:r>
      <w:bookmarkEnd w:id="38"/>
      <w:r>
        <w:rPr/>
        <w:t>качеству продукции</w:t>
      </w:r>
      <w:bookmarkEnd w:id="37"/>
    </w:p>
    <w:p>
      <w:pPr>
        <w:pStyle w:val="Style38"/>
        <w:numPr>
          <w:ilvl w:val="0"/>
          <w:numId w:val="0"/>
        </w:numPr>
        <w:spacing w:before="0" w:after="113"/>
        <w:ind w:left="0" w:hanging="0"/>
        <w:outlineLvl w:val="0"/>
        <w:rPr/>
      </w:pPr>
      <w:bookmarkStart w:id="39" w:name="__RefHeading___Toc37497_2426627006"/>
      <w:bookmarkStart w:id="40" w:name="_Toc205370123"/>
      <w:bookmarkEnd w:id="39"/>
      <w:r>
        <w:rPr/>
        <w:t>Таблица 3. Требования к продукции</w:t>
      </w:r>
      <w:bookmarkEnd w:id="40"/>
      <w:r>
        <w:rPr/>
        <w:t xml:space="preserve"> </w:t>
      </w:r>
      <w:bookmarkEnd w:id="36"/>
    </w:p>
    <w:tbl>
      <w:tblPr>
        <w:tblStyle w:val="affffe"/>
        <w:tblpPr w:bottomFromText="0" w:horzAnchor="text" w:leftFromText="180" w:rightFromText="180" w:tblpX="0" w:tblpY="1" w:topFromText="0" w:vertAnchor="text"/>
        <w:tblW w:w="1528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98"/>
        <w:gridCol w:w="3461"/>
        <w:gridCol w:w="3005"/>
        <w:gridCol w:w="1635"/>
        <w:gridCol w:w="3487"/>
        <w:gridCol w:w="2798"/>
      </w:tblGrid>
      <w:tr>
        <w:trPr/>
        <w:tc>
          <w:tcPr>
            <w:tcW w:w="898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3461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Наименование параметра</w:t>
            </w:r>
          </w:p>
        </w:tc>
        <w:tc>
          <w:tcPr>
            <w:tcW w:w="3005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Требование заказчика</w:t>
            </w:r>
          </w:p>
        </w:tc>
        <w:tc>
          <w:tcPr>
            <w:tcW w:w="5122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Способ подтверждения участником соответствия требованиям</w:t>
            </w:r>
          </w:p>
        </w:tc>
        <w:tc>
          <w:tcPr>
            <w:tcW w:w="2798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Предложение участника по характеристикам и параметрам</w:t>
            </w:r>
          </w:p>
        </w:tc>
      </w:tr>
      <w:tr>
        <w:trPr/>
        <w:tc>
          <w:tcPr>
            <w:tcW w:w="898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46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005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63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Согласие с требованием/ указание характеристик</w:t>
            </w:r>
          </w:p>
        </w:tc>
        <w:tc>
          <w:tcPr>
            <w:tcW w:w="34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Предоставление подтверждающего документа на этапе закупки</w:t>
            </w:r>
          </w:p>
        </w:tc>
        <w:tc>
          <w:tcPr>
            <w:tcW w:w="2798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6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00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3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34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279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6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4386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Требования к техническим и функциональным характеристикам силового трансформатора (включая гарантируемые показатели) - </w:t>
            </w:r>
            <w:r>
              <w:rPr>
                <w:rFonts w:eastAsia="Times New Roman" w:cs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 xml:space="preserve">Трансформатор силовой ТСКС-40/145 11/0,4 кВ УЗ </w:t>
            </w:r>
            <w:r>
              <w:rPr>
                <w:rFonts w:eastAsia="Times New Roman" w:cs="Times New Roman"/>
                <w:b w:val="false"/>
                <w:bCs/>
                <w:color w:val="000000"/>
                <w:kern w:val="0"/>
                <w:sz w:val="24"/>
                <w:szCs w:val="28"/>
                <w:lang w:val="ru-RU" w:eastAsia="ru-RU" w:bidi="ar-SA"/>
              </w:rPr>
              <w:t>в комплекте с трансформаторами тока и выкатным элементом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</w:t>
            </w:r>
          </w:p>
        </w:tc>
        <w:tc>
          <w:tcPr>
            <w:tcW w:w="14386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4"/>
                <w:szCs w:val="28"/>
                <w:lang w:val="ru-RU" w:eastAsia="ru-RU" w:bidi="ar-SA"/>
              </w:rPr>
              <w:t>Трансформатор силовой ТСКС-40/145 11/0,4 кВ УЗ</w:t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/>
                <w:kern w:val="0"/>
                <w:sz w:val="24"/>
                <w:szCs w:val="24"/>
                <w:lang w:val="ru-RU" w:eastAsia="en-US" w:bidi="ar-SA"/>
              </w:rPr>
              <w:t>Мощность</w:t>
            </w:r>
            <w:r>
              <w:rPr>
                <w:rFonts w:eastAsia="Calibri" w:cs="Times New Roman"/>
                <w:kern w:val="0"/>
                <w:sz w:val="24"/>
                <w:szCs w:val="24"/>
                <w:lang w:val="ru-RU" w:eastAsia="ru-RU" w:bidi="ar-SA"/>
              </w:rPr>
              <w:t>, кВА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при броске тока, кВА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Номинальное напряжение обмотки ВН, кВ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Номинальное напряжение обмотки НН, кВ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0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0"/>
              </w:rPr>
              <w:t>1.1.5.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Номинальный ток обмотки ВН, 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2,10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0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0"/>
              </w:rPr>
              <w:t>1.1.6.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Номинальный ток обмотки НН, 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57,7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0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0"/>
              </w:rPr>
              <w:t>1.1.7.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Напряжение короткого замыкания, %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1,55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1.1.8.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8"/>
              </w:rPr>
            </w:pPr>
            <w:r>
              <w:rPr>
                <w:color w:val="auto"/>
                <w:sz w:val="24"/>
                <w:szCs w:val="28"/>
              </w:rPr>
              <w:t>Ток холостого хода, %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4"/>
                <w:szCs w:val="20"/>
              </w:rPr>
              <w:t>7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1.1.9.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Схема и группа соединения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У/У-0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1.1.10.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Частота, Гц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Число фаз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3 контакты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Нуль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Выведенный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Переключение без возбуждения (ПБВ)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Указатель уровня масла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4"/>
                <w:szCs w:val="24"/>
                <w:lang w:val="ru-RU" w:eastAsia="ru-RU" w:bidi="ar-SA"/>
              </w:rPr>
              <w:t>С — сухой (естественное воздушное охлаждение)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Наличие термометра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1.1.16.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Наличие клапана сброса давления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color w:val="auto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</w:t>
            </w:r>
          </w:p>
        </w:tc>
        <w:tc>
          <w:tcPr>
            <w:tcW w:w="14386" w:type="dxa"/>
            <w:gridSpan w:val="5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Трансформаторы тока ТОП-0,66-100/5 У3</w:t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Тип трансформатора тока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ТОП-0,66-100/5 У3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Количество трансформаторов тока, шт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3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Класс напряжения, кВ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0,66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Номинальный первичный ток, 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Номинальный вторичный ток, 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bidi="ar-SA"/>
              </w:rPr>
            </w:pPr>
            <w:r>
              <w:rPr>
                <w:rFonts w:eastAsia="Calibri" w:cs="Times New Roman"/>
                <w:bCs/>
                <w:kern w:val="0"/>
                <w:sz w:val="24"/>
                <w:szCs w:val="24"/>
                <w:shd w:fill="auto" w:val="clear"/>
                <w:lang w:val="ru-RU" w:eastAsia="x-none" w:bidi="ar-SA"/>
              </w:rPr>
              <w:t>Класс точности вторичных обмоток (не более 5) для измерений и учета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en-US" w:eastAsia="ru-RU" w:bidi="ar-SA"/>
              </w:rPr>
              <w:t>0,5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1.2.7.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Вторичная нагрузка, ВА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5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1.2.8.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Габариты, мм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81х127х108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highlight w:val="none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1.3.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конструкции, изготовлению и материалам: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1.3.1.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Наличие аппаратных штыревых зажимов АШМ на стороне НН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4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518" w:hRule="atLeast"/>
        </w:trPr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1.3.2.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highlight w:val="none"/>
                <w:shd w:fill="auto" w:val="clear"/>
              </w:rPr>
            </w:pPr>
            <w:r>
              <w:rPr>
                <w:sz w:val="24"/>
                <w:szCs w:val="28"/>
                <w:shd w:fill="auto" w:val="clear"/>
              </w:rPr>
              <w:t xml:space="preserve">Размеры </w:t>
            </w:r>
            <w:r>
              <w:rPr>
                <w:sz w:val="24"/>
                <w:szCs w:val="28"/>
                <w:shd w:fill="auto" w:val="clear"/>
              </w:rPr>
              <w:t xml:space="preserve">втычных </w:t>
            </w:r>
            <w:r>
              <w:rPr>
                <w:sz w:val="24"/>
                <w:szCs w:val="28"/>
                <w:shd w:fill="auto" w:val="clear"/>
              </w:rPr>
              <w:t xml:space="preserve">контактов (тюльпан) </w:t>
            </w:r>
            <w:r>
              <w:rPr>
                <w:sz w:val="24"/>
                <w:szCs w:val="28"/>
                <w:shd w:fill="auto" w:val="clear"/>
              </w:rPr>
              <w:t>инеподвижных контактов,</w:t>
            </w:r>
            <w:r>
              <w:rPr>
                <w:sz w:val="24"/>
                <w:szCs w:val="28"/>
                <w:shd w:fill="auto" w:val="clear"/>
              </w:rPr>
              <w:t xml:space="preserve"> Д/Ш, мм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8"/>
                <w:highlight w:val="none"/>
                <w:shd w:fill="auto" w:val="clear"/>
              </w:rPr>
            </w:pPr>
            <w:r>
              <w:rPr>
                <w:sz w:val="24"/>
                <w:szCs w:val="28"/>
                <w:shd w:fill="auto" w:val="clear"/>
              </w:rPr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8"/>
                <w:highlight w:val="none"/>
                <w:shd w:fill="F10D0C" w:val="clear"/>
              </w:rPr>
            </w:pPr>
            <w:r>
              <w:rPr/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22860</wp:posOffset>
                  </wp:positionV>
                  <wp:extent cx="922020" cy="805180"/>
                  <wp:effectExtent l="0" t="0" r="0" b="0"/>
                  <wp:wrapSquare wrapText="largest"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22860</wp:posOffset>
                  </wp:positionV>
                  <wp:extent cx="810260" cy="810895"/>
                  <wp:effectExtent l="0" t="0" r="0" b="0"/>
                  <wp:wrapSquare wrapText="largest"/>
                  <wp:docPr id="4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833120</wp:posOffset>
                  </wp:positionV>
                  <wp:extent cx="810260" cy="842645"/>
                  <wp:effectExtent l="0" t="0" r="0" b="0"/>
                  <wp:wrapSquare wrapText="largest"/>
                  <wp:docPr id="5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833120</wp:posOffset>
                  </wp:positionV>
                  <wp:extent cx="935355" cy="831850"/>
                  <wp:effectExtent l="0" t="0" r="0" b="0"/>
                  <wp:wrapSquare wrapText="largest"/>
                  <wp:docPr id="6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4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518" w:hRule="atLeast"/>
        </w:trPr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1.3.3.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highlight w:val="none"/>
                <w:shd w:fill="auto" w:val="clear"/>
              </w:rPr>
            </w:pPr>
            <w:r>
              <w:rPr>
                <w:sz w:val="24"/>
                <w:szCs w:val="28"/>
                <w:shd w:fill="auto" w:val="clear"/>
              </w:rPr>
              <w:t>Выключатель автоматический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b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shd w:fill="auto" w:val="clear"/>
                <w:em w:val="none"/>
              </w:rPr>
              <w:t>АЕ 2046М-40Р00 УЗБ</w:t>
            </w:r>
          </w:p>
          <w:p>
            <w:pPr>
              <w:pStyle w:val="Normal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shd w:fill="auto" w:val="clear"/>
                <w:em w:val="none"/>
              </w:rPr>
              <w:t>63 А (380В 50,60Гц)</w:t>
            </w:r>
          </w:p>
          <w:p>
            <w:pPr>
              <w:pStyle w:val="Normal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shd w:fill="auto" w:val="clear"/>
                <w:em w:val="none"/>
              </w:rPr>
              <w:t>Черкесск гост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>Д/В/Ш=</w:t>
            </w:r>
            <w:r>
              <w:rPr>
                <w:b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145 × 75 × 105 мм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4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1.3.4.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Наличие катков для трансформатора ТМ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4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1.3.5.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Масса силового трансформатора, кг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b w:val="false"/>
                <w:bCs w:val="false"/>
                <w:kern w:val="0"/>
                <w:sz w:val="24"/>
                <w:szCs w:val="24"/>
                <w:shd w:fill="auto" w:val="clear"/>
                <w:lang w:val="ru-RU" w:bidi="ar-SA"/>
              </w:rPr>
              <w:t>370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1.3.6.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Габаритные размеры силового трансформатора, Д/В/Ш, м</w:t>
            </w:r>
            <w:r>
              <w:rPr>
                <w:bCs/>
                <w:kern w:val="0"/>
                <w:sz w:val="24"/>
                <w:szCs w:val="24"/>
                <w:lang w:val="ru-RU" w:bidi="ar-SA"/>
              </w:rPr>
              <w:t>м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bCs/>
                <w:kern w:val="0"/>
                <w:sz w:val="24"/>
                <w:szCs w:val="24"/>
                <w:shd w:fill="auto" w:val="clear"/>
                <w:lang w:val="ru-RU" w:bidi="ar-SA"/>
              </w:rPr>
              <w:t>69</w:t>
            </w:r>
            <w:r>
              <w:rPr>
                <w:bCs/>
                <w:kern w:val="0"/>
                <w:sz w:val="24"/>
                <w:szCs w:val="24"/>
                <w:shd w:fill="auto" w:val="clear"/>
                <w:lang w:val="ru-RU" w:bidi="ar-SA"/>
              </w:rPr>
              <w:t>0</w:t>
            </w:r>
            <w:r>
              <w:rPr>
                <w:bCs/>
                <w:kern w:val="0"/>
                <w:sz w:val="24"/>
                <w:szCs w:val="24"/>
                <w:shd w:fill="auto" w:val="clear"/>
                <w:lang w:val="ru-RU" w:bidi="ar-SA"/>
              </w:rPr>
              <w:t>х70</w:t>
            </w:r>
            <w:r>
              <w:rPr>
                <w:bCs/>
                <w:kern w:val="0"/>
                <w:sz w:val="24"/>
                <w:szCs w:val="24"/>
                <w:shd w:fill="auto" w:val="clear"/>
                <w:lang w:val="ru-RU" w:bidi="ar-SA"/>
              </w:rPr>
              <w:t>0</w:t>
            </w:r>
            <w:r>
              <w:rPr>
                <w:bCs/>
                <w:kern w:val="0"/>
                <w:sz w:val="24"/>
                <w:szCs w:val="24"/>
                <w:shd w:fill="auto" w:val="clear"/>
                <w:lang w:val="ru-RU" w:bidi="ar-SA"/>
              </w:rPr>
              <w:t>х22</w:t>
            </w:r>
            <w:r>
              <w:rPr>
                <w:bCs/>
                <w:kern w:val="0"/>
                <w:sz w:val="24"/>
                <w:szCs w:val="24"/>
                <w:shd w:fill="auto" w:val="clear"/>
                <w:lang w:val="ru-RU" w:bidi="ar-SA"/>
              </w:rPr>
              <w:t>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1.4.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kern w:val="0"/>
                <w:sz w:val="24"/>
                <w:szCs w:val="28"/>
                <w:lang w:val="ru-RU" w:bidi="ar-SA"/>
              </w:rPr>
              <w:t>Требования к электрической прочности изоляции: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1.4.1.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Класс нагревостойкости изоляции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В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4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1.5.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b/>
                <w:kern w:val="0"/>
                <w:sz w:val="24"/>
                <w:szCs w:val="28"/>
                <w:lang w:val="ru-RU" w:bidi="ar-SA"/>
              </w:rPr>
              <w:t>Требования к безопасности: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/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1.5.1.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bCs/>
                <w:kern w:val="0"/>
                <w:sz w:val="24"/>
                <w:szCs w:val="28"/>
                <w:lang w:val="ru-RU" w:bidi="ar-SA"/>
              </w:rPr>
              <w:t>Степень защищенности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IP 00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Тех. предложение (п. </w:t>
            </w:r>
            <w:r>
              <w:rPr>
                <w:kern w:val="0"/>
                <w:sz w:val="24"/>
                <w:szCs w:val="24"/>
                <w:lang w:val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lang w:val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lang w:val="ru-RU" w:bidi="ar-SA"/>
              </w:rPr>
              <w:t>2.2.1.1</w: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end"/>
            </w:r>
            <w:r>
              <w:rPr>
                <w:kern w:val="0"/>
                <w:sz w:val="24"/>
                <w:szCs w:val="24"/>
                <w:lang w:val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Декларация (п. </w:t>
            </w:r>
            <w:r>
              <w:rPr>
                <w:kern w:val="0"/>
                <w:sz w:val="24"/>
                <w:szCs w:val="24"/>
                <w:lang w:val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lang w:val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lang w:val="ru-RU" w:bidi="ar-SA"/>
              </w:rPr>
              <w:t>2.2.1.2</w: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end"/>
            </w:r>
            <w:r>
              <w:rPr>
                <w:kern w:val="0"/>
                <w:sz w:val="24"/>
                <w:szCs w:val="24"/>
                <w:lang w:val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Тех. условия (п. </w:t>
            </w:r>
            <w:r>
              <w:rPr>
                <w:kern w:val="0"/>
                <w:sz w:val="24"/>
                <w:szCs w:val="24"/>
                <w:lang w:val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lang w:val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lang w:val="ru-RU" w:bidi="ar-SA"/>
              </w:rPr>
              <w:t>2.2.1.5</w: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end"/>
            </w:r>
            <w:r>
              <w:rPr>
                <w:kern w:val="0"/>
                <w:sz w:val="24"/>
                <w:szCs w:val="24"/>
                <w:lang w:val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Руководство по эксплуатации (п. </w:t>
            </w:r>
            <w:r>
              <w:rPr>
                <w:kern w:val="0"/>
                <w:sz w:val="24"/>
                <w:szCs w:val="24"/>
                <w:lang w:val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lang w:val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lang w:val="ru-RU" w:bidi="ar-SA"/>
              </w:rPr>
              <w:t>2.2.1.6</w:t>
            </w:r>
            <w:r>
              <w:rPr>
                <w:sz w:val="24"/>
                <w:kern w:val="0"/>
                <w:szCs w:val="24"/>
                <w:lang w:val="ru-RU" w:bidi="ar-SA"/>
              </w:rPr>
              <w:fldChar w:fldCharType="end"/>
            </w:r>
            <w:r>
              <w:rPr>
                <w:kern w:val="0"/>
                <w:sz w:val="24"/>
                <w:szCs w:val="24"/>
                <w:lang w:val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1.6.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факторам: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1.6.1.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Климатическое исполнение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/>
              <w:t>У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8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1.6.2.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Категория размещения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8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1.6.3.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Верхнее рабочее значение температуры окружающего воздуха, °С, для климатических исполнений и категорий размещения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плюс 40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Calibri" w:cs="Arial"/>
                <w:kern w:val="0"/>
                <w:sz w:val="24"/>
                <w:szCs w:val="28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1.6.4.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Нижнее рабочее значение температуры окружающего воздуха, °С, для климатических исполнений и категорий размещения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минус 45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8"/>
              </w:rPr>
            </w:pPr>
            <w:r>
              <w:rPr>
                <w:rFonts w:eastAsia="Calibri" w:cs="Arial"/>
                <w:kern w:val="0"/>
                <w:sz w:val="24"/>
                <w:szCs w:val="28"/>
                <w:lang w:val="ru-RU" w:eastAsia="en-US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1.6.5.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Высота над уровнем моря, м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до 1000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1.6.6.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Сейсмостойкость, </w:t>
            </w:r>
            <w:r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баллов по шкале MSK-64, не менее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Требования к качеству поставляемой продукции: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Продукция должна быть новая*, ранее не используемая.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kern w:val="0"/>
                <w:sz w:val="24"/>
                <w:szCs w:val="24"/>
                <w:lang w:val="ru-RU" w:eastAsia="ru-RU" w:bidi="ar-SA"/>
              </w:rPr>
              <w:t>* - Под новым следует понимать оборудование, которое не было в употреблении, не приходило ремонт, в том числе восстановление, замену составных частей, восстановление потребительских свойств.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Год выпуска продукции (оборудования)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Не ранее 3 квартала 2025 г.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Место поставки продукции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kern w:val="0"/>
                <w:sz w:val="24"/>
                <w:szCs w:val="24"/>
                <w:lang w:val="ru-RU" w:eastAsia="en-US" w:bidi="ar-SA"/>
              </w:rPr>
              <w:t>677021, РФ, Республика Саха (Якутия) г. Якутск, пр-кт. Михаила Николаева, д. 26 Грузополучатель: Центральные электрические сети филиал ПАО «Якутскэнерго»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Силовой трансформатор должен иметь табличку по ГОСТ 12969-67 и ГОСТ 12971-67, содержащую следующие данные: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товарный знак или наименование предприятия-изготовителя;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наименование изделия ("Трансформатор");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тип трансформатора с ГОСТ Р 52719-2007;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обозначение климатического исполнения и категории размещения по ГОСТ 15150;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порядковый номер по системе нумерации предприятия-изготовителя;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номинальное напряжение в киловольтах;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масса трансформатора в килограммах;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обозначение настоящего стандарта или ТУ;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дата изготовления (год выпуска) трансформатора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3.3.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Транспортная маркировка грузов - по ГОСТ 14192-77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3.4.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Силовой трансформатор или его части (при транспортировании трансформатора в частично разобранном виде) должен быть упакован для транспортирования в плотные или решетчатые ящики по ГОСТ 10198 или ГОСТ 2991 или в специальную тару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3.5.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Все неокрашенные металлические части силового трансформатора должны быть подвергнуты консервации по ГОСТ 23216-78.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3.6.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Условия хранения по ГОСТ 15150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432" w:leader="none"/>
                <w:tab w:val="left" w:pos="459" w:leader="none"/>
              </w:tabs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5ОЖ3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32" w:leader="none"/>
                <w:tab w:val="left" w:pos="459" w:leader="none"/>
              </w:tabs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426" w:leader="none"/>
              </w:tabs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3.7.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Условия транспортирования согласно ГОСТ 23216-78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жесткие (Ж)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3.8.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Срок хранения, не менее, лет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эксплуатации, обеспечению и утилизации: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Эксплуатация монтаж силового трансформатора должно соответствовать требованиям Правилам технической эксплуатации электрических сетей, Правилам организации технического обслуживания и ремонта объектов электроэнергетики, Правилам устройств электроустановок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Наличие в заводской документации требований по мерам безопасности, перечня составных частей и методов утилизации изделий, представляющих опасность для жизни, здоровью людей и окружающей среды после окончания срока службы силового трансформатора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Соответствие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гарантиям, гарантийному и послегарантийному обслуживанию: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Гарантийный срок эксплуатации силового трансформатора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Не менее пяти лет со дня ввода в эксплуатацию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Возможность заключения договора на постгарантийное обслуживание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left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5.3.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Наличие сервисных центров на территории РФ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Протокол испытаний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_Ref184912294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2.2.1.4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left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5.4.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Гарантии распространяются на все поставляемое оборудование.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 течение гарантийного срока должна быть обеспечена безвозмездная замена или ремонт вышедшего из строя оборудования, включая его доставку туда и обратно. Доставка неисправного оборудования в сервисный центр для проведения ремонта и возвращение исправного, после ремонта, оборудования Поставщик осуществляет за свой счет.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left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комплектации и документам, поставляемым вместе с продукцией: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Силовой трансформатор с </w:t>
            </w:r>
            <w:r>
              <w:rPr>
                <w:rFonts w:eastAsia="Times New Roman" w:cs="Times New Roman"/>
                <w:bCs/>
                <w:color w:val="000000"/>
                <w:kern w:val="0"/>
                <w:sz w:val="24"/>
                <w:szCs w:val="28"/>
                <w:lang w:val="ru-RU" w:eastAsia="ru-RU" w:bidi="ar-SA"/>
              </w:rPr>
              <w:t xml:space="preserve">трансформаторами тока и </w:t>
            </w: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выкатным элементом (в случае если это предусмотрено настоящими ТТ)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6.2.</w:t>
            </w:r>
          </w:p>
        </w:tc>
        <w:tc>
          <w:tcPr>
            <w:tcW w:w="346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ячейки выкатного элемента под силовой трансформатор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КС-10-202-1000-30 У3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6.3.</w:t>
            </w:r>
          </w:p>
        </w:tc>
        <w:tc>
          <w:tcPr>
            <w:tcW w:w="346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Обозначение комплекта конструкторской документации ячейки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bCs/>
                <w:kern w:val="0"/>
                <w:sz w:val="24"/>
                <w:szCs w:val="24"/>
                <w:lang w:val="ru-RU" w:bidi="ar-SA"/>
              </w:rPr>
              <w:t>КУЮЖ.674512.002 ТУ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2.2.1.1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Чертежи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_Ref184912271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2.2.1.3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lang w:val="ru-RU" w:eastAsia="ru-RU" w:bidi="ar-SA"/>
              </w:rPr>
              <w:fldChar w:fldCharType="begin"/>
            </w:r>
            <w:r>
              <w:rPr>
                <w:kern w:val="0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kern w:val="0"/>
                <w:rFonts w:cs="Times New Roman"/>
                <w:lang w:val="ru-RU" w:eastAsia="ru-RU" w:bidi="ar-SA"/>
              </w:rPr>
              <w:t>2.2.1.6</w:t>
            </w:r>
            <w:r>
              <w:rPr>
                <w:kern w:val="0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6.4.</w:t>
            </w:r>
          </w:p>
        </w:tc>
        <w:tc>
          <w:tcPr>
            <w:tcW w:w="346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Комплект запасных частей и принадлежностей ЗИП</w:t>
            </w: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согласно комплектации производителя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Ведомость комплекта ЗИП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_Ref184912424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2.2.1.7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6.5.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Эксплуатационная документация по ГОСТ Р 2.601-2019, экз.: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- руководство по эксплуатации;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- формуляр или паспорт;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- ведомость ЗИП в виде отдельного документа или как составная часть паспорта или формуляра.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 (1 в электронном виде)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Ведомость комплекта ЗИП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_Ref184912424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2.2.1.7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6.6.</w:t>
            </w:r>
          </w:p>
        </w:tc>
        <w:tc>
          <w:tcPr>
            <w:tcW w:w="3461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Оснащение трансформатора: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- Трансформаторы тока х3;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 xml:space="preserve">- Выкатной элемент, электрический соединительный жгут, </w:t>
            </w: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втычные контакты (тюльпан), неподвижные контакты;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- Аппаратные штыревые зажимы АШМ;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- Катки для трансформатора ТМ;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- Выключатель автоматический.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rFonts w:eastAsia="Times New Roman" w:cs="Times New Roman"/>
                <w:kern w:val="0"/>
                <w:sz w:val="24"/>
                <w:szCs w:val="28"/>
                <w:lang w:val="ru-RU" w:eastAsia="ru-RU" w:bidi="ar-SA"/>
              </w:rPr>
              <w:t>да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rFonts w:eastAsia="Times New Roman" w:cs="Times New Roman"/>
                <w:kern w:val="0"/>
                <w:sz w:val="24"/>
                <w:szCs w:val="28"/>
                <w:lang w:val="ru-RU" w:eastAsia="ru-RU" w:bidi="ar-SA"/>
              </w:rPr>
              <w:t>да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>
              <w:top w:val="nil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Требования к соблюдению положений нормативной и иной обязательной для поставщика документации:</w:t>
            </w: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Во всем неоговоренном силовой трансформатор и встраиваемое оборудование должны соответствовать требованиям ГОСТ Р 52719-2007, ПУЭ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Ведомость комплекта ЗИП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_Ref184912424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2.2.1.7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экономическим параметрам: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Срок службы, не менее, лет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условия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_Ref184912387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2.2.1.5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Срок службы до среднего (капитального) ремонта, лет, не менее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Декларация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_Ref184912253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2.2.1.2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Руководство по эксплуатации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_Ref184912407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2.2.1.6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сопутствующим услугам: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>
          <w:trHeight w:val="349" w:hRule="atLeast"/>
        </w:trPr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9.1.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Требования к шефмонтажу: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9.2.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Участие в монтаже технического представителя завода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обязательствам Поставщика, влияющим на исполнение договора: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Участие представителей заказчика в приемо-сдаточных испытаний силового трансформатора на заводе-изготовителе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10.2.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Участие представителя завода изготовителя (поставщика) в проверке качества и комплектности поставляемой продукции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 xml:space="preserve">Тех. предложение (п. </w:t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instrText xml:space="preserve"> REF _Ref184912228 \r \h </w:instrTex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separate"/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t>2.2.1.1</w:t>
            </w:r>
            <w:r>
              <w:rPr>
                <w:sz w:val="24"/>
                <w:kern w:val="0"/>
                <w:szCs w:val="24"/>
                <w:rFonts w:cs="Times New Roman"/>
                <w:lang w:val="ru-RU" w:eastAsia="ru-RU" w:bidi="ar-SA"/>
              </w:rPr>
              <w:fldChar w:fldCharType="end"/>
            </w:r>
            <w:r>
              <w:rPr>
                <w:rFonts w:cs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/>
                <w:kern w:val="0"/>
                <w:sz w:val="24"/>
                <w:szCs w:val="24"/>
                <w:lang w:val="ru-RU" w:eastAsia="ru-RU" w:bidi="ar-SA"/>
              </w:rPr>
              <w:t>11.</w:t>
            </w:r>
          </w:p>
        </w:tc>
        <w:tc>
          <w:tcPr>
            <w:tcW w:w="646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Предоставление информации и документов, подтверждающими страну происхождения товара для целей исполнения Постановления Правительства РФ от 23.12.2024 №1875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9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eastAsia="Calibri" w:cs="Times New Roman"/>
                <w:kern w:val="0"/>
                <w:sz w:val="24"/>
                <w:szCs w:val="24"/>
                <w:lang w:val="ru-RU" w:eastAsia="ru-RU" w:bidi="ar-SA"/>
              </w:rPr>
              <w:t>11.1.</w:t>
            </w:r>
          </w:p>
        </w:tc>
        <w:tc>
          <w:tcPr>
            <w:tcW w:w="346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Поставка силового трансформатора 10 кВ №1 Таблицы 1.1. «Перечень и объем закупаемого товара»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Требования к национальному режиму</w:t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- Номер реестровой записи из реестра российской промышленной продукции, содержащей в том числе: - информацию о совокупном количестве баллов за выполнение (освоение) на территории Российской Федерации соответствующих операций (условий) (если в отношении такого товара постановлением Правительства №719 за выполнение (освоение) на территории Российской Федерации соответствующих операций (условий) установлены требования о совокупном количестве баллов), которое составляет или превышает значение, определенное постановлением Правительства №719 для целей осуществления закупок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- Номер реестровой записи из евразийского реестра промышленных товаров, содержащей в том числе: - информацию о совокупном количестве баллов за выполнение (освоение) на территории ЕАЭС соответствующих операций (условий) (если в отношении такого товара правом ЕАЭС за выполнение (освоение) на территории ЕАЭС соответствующих операций (условий) установлены требования о совокупном количестве баллов), которое составляет или превышает значение, определенное правом ЕАЭС</w:t>
            </w:r>
          </w:p>
        </w:tc>
        <w:tc>
          <w:tcPr>
            <w:tcW w:w="3487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Указание наименования реестра и номер реестровой записи в Форме Коммерческого предложения и Структуры НМЦ</w:t>
            </w:r>
          </w:p>
        </w:tc>
        <w:tc>
          <w:tcPr>
            <w:tcW w:w="279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right="113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Требуется в составе заявки представить заполненную Форму Коммерческого предложения и Структуры НМЦ в части столбцов раздела «Коммерческое предложение».</w:t>
            </w:r>
          </w:p>
        </w:tc>
      </w:tr>
    </w:tbl>
    <w:p>
      <w:pPr>
        <w:pStyle w:val="Normal"/>
        <w:spacing w:before="0" w:after="60"/>
        <w:ind w:left="426" w:hang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Примечания:</w:t>
      </w:r>
    </w:p>
    <w:p>
      <w:pPr>
        <w:pStyle w:val="ListParagraph"/>
        <w:numPr>
          <w:ilvl w:val="0"/>
          <w:numId w:val="7"/>
        </w:numPr>
        <w:spacing w:before="0" w:after="60"/>
        <w:contextualSpacing/>
        <w:jc w:val="both"/>
        <w:rPr/>
      </w:pPr>
      <w:r>
        <w:rPr/>
        <w:t>В случае если какой-либо из указанных в настоящих ТТ ГОСТ или нормативный документ был отменен в связи с выпуском новой редакции стандарта, то Участнику необходимо применять актуализированный ГОСТ или нормативный документ, принятый в его развитие.</w:t>
      </w:r>
    </w:p>
    <w:p>
      <w:pPr>
        <w:pStyle w:val="ListParagraph"/>
        <w:numPr>
          <w:ilvl w:val="0"/>
          <w:numId w:val="7"/>
        </w:numPr>
        <w:spacing w:before="0" w:after="60"/>
        <w:contextualSpacing/>
        <w:jc w:val="both"/>
        <w:rPr/>
      </w:pPr>
      <w:r>
        <w:rPr/>
        <w:t>Указанные в настоящих ТТ ссылки на ТУ, марку (тип) продукции носят описательный, а не обязательный характер. В случае, если Участником предлагается эквивалентная продукция требуемой Заказчику продукции или ее составных частей, он должен в обязательном порядке в составе своего предложения предоставить подробное техническое описание предлагаемого к поставке эквивалента, в объеме не менее установленных в настоящих ТТ требований. Эквивалентная продукция – это продукция, которая по техническим и функциональным характеристикам не уступает характеристикам, заявленным в документации о закупке, в том числе, по гарантийным срокам и срокам эксплуатации.</w:t>
      </w:r>
    </w:p>
    <w:p>
      <w:pPr>
        <w:pStyle w:val="Normal"/>
        <w:jc w:val="both"/>
        <w:rPr>
          <w:rStyle w:val="Style8"/>
          <w:sz w:val="24"/>
          <w:szCs w:val="24"/>
        </w:rPr>
      </w:pPr>
      <w:r>
        <w:rPr>
          <w:sz w:val="24"/>
          <w:szCs w:val="24"/>
        </w:rPr>
      </w:r>
      <w:bookmarkStart w:id="41" w:name="_Toc184662457"/>
      <w:bookmarkStart w:id="42" w:name="_Toc184662431"/>
      <w:bookmarkStart w:id="43" w:name="_Toc184662353"/>
      <w:bookmarkStart w:id="44" w:name="_Toc184661961"/>
      <w:bookmarkStart w:id="45" w:name="_Toc184662456"/>
      <w:bookmarkStart w:id="46" w:name="_Toc184662430"/>
      <w:bookmarkStart w:id="47" w:name="_Toc184662352"/>
      <w:bookmarkStart w:id="48" w:name="_Toc184661960"/>
      <w:bookmarkStart w:id="49" w:name="_Toc184662457"/>
      <w:bookmarkStart w:id="50" w:name="_Toc184662431"/>
      <w:bookmarkStart w:id="51" w:name="_Toc184662353"/>
      <w:bookmarkStart w:id="52" w:name="_Toc184661961"/>
      <w:bookmarkStart w:id="53" w:name="_Toc184662456"/>
      <w:bookmarkStart w:id="54" w:name="_Toc184662430"/>
      <w:bookmarkStart w:id="55" w:name="_Toc184662352"/>
      <w:bookmarkStart w:id="56" w:name="_Toc184661960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pStyle w:val="Heading3"/>
        <w:numPr>
          <w:ilvl w:val="2"/>
          <w:numId w:val="3"/>
        </w:numPr>
        <w:rPr/>
      </w:pPr>
      <w:bookmarkStart w:id="57" w:name="__RefHeading___Toc37499_2426627006"/>
      <w:bookmarkStart w:id="58" w:name="_Toc205370124"/>
      <w:bookmarkStart w:id="59" w:name="_Toc184662354"/>
      <w:bookmarkStart w:id="60" w:name="_Toc184661962"/>
      <w:bookmarkStart w:id="61" w:name="_Toc184662458"/>
      <w:bookmarkStart w:id="62" w:name="_Toc184662432"/>
      <w:bookmarkEnd w:id="57"/>
      <w:bookmarkEnd w:id="59"/>
      <w:bookmarkEnd w:id="60"/>
      <w:bookmarkEnd w:id="61"/>
      <w:bookmarkEnd w:id="62"/>
      <w:r>
        <w:rPr/>
        <w:t>В составе заявки необходимо предоставить</w:t>
      </w:r>
      <w:bookmarkEnd w:id="58"/>
    </w:p>
    <w:p>
      <w:pPr>
        <w:pStyle w:val="Normal"/>
        <w:spacing w:before="0" w:after="60"/>
        <w:ind w:left="426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в составе своей заявки для подтверждения соответствия заявленных характеристик и конструктива предложенной продукции поставляемой продукции, требованиям настоящих ТТ, предоставляет следующие документы: </w:t>
      </w:r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63" w:name="_Ref184912228"/>
      <w:r>
        <w:rPr/>
        <w:t>Техническое предложение, подготовленное в соответствии с настоящими ТТ по форме, представленной в документации о закупке. При описании продукции Участник обязан подтвердить соответствие поставляемой продукции требованиям в отношении всех показателей, которые установлены в ТТ. При этом должны указываться точные и не допускающие двусмысленного толкования показатели.</w:t>
      </w:r>
      <w:bookmarkEnd w:id="63"/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64" w:name="_Ref184912253"/>
      <w:r>
        <w:rPr/>
        <w:t>Копию действующей декларации о соответствии, в соответствии с Федеральным Законом от 27.12.2002 г. № 184-ФЗ «О техническом регулировании», Постановлением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</w:r>
      <w:bookmarkEnd w:id="64"/>
    </w:p>
    <w:p>
      <w:pPr>
        <w:pStyle w:val="Normal"/>
        <w:keepNext w:val="true"/>
        <w:widowControl w:val="false"/>
        <w:ind w:left="1418" w:hanging="0"/>
        <w:jc w:val="both"/>
        <w:rPr>
          <w:sz w:val="24"/>
          <w:szCs w:val="24"/>
        </w:rPr>
      </w:pPr>
      <w:r>
        <w:rPr>
          <w:sz w:val="24"/>
          <w:szCs w:val="24"/>
        </w:rPr>
        <w:t>Декларация о соответствии должна иметь электронную регистрацию (статус действующего документа)  в едином реестре деклараций на сайте https://fsa.gov.ru/ (требование п.6 ст.24 ФЗ-184, должна быть с приложением документов, на основании которых выданы декларации (в том числе, но не ограничиваясь: протокол испытаний и измерений, выполненных согласно  ГОСТ Р 52719-2007 и проведенных в аккредитованной в установленном порядке и независимой лаборатории (испытательного центра), имеющей российский аттестат аккредитации, либо сертификат системы качества, выданный органом по сертификации, аккредитованным в установленном порядке).</w:t>
      </w:r>
    </w:p>
    <w:p>
      <w:pPr>
        <w:pStyle w:val="Normal"/>
        <w:keepNext w:val="true"/>
        <w:widowControl w:val="false"/>
        <w:ind w:left="1418" w:hanging="0"/>
        <w:jc w:val="both"/>
        <w:rPr/>
      </w:pPr>
      <w:r>
        <w:rPr>
          <w:sz w:val="24"/>
          <w:szCs w:val="24"/>
        </w:rPr>
        <w:t>Высоковольтное оборудование должно иметь декларацию о соответствии (трансформаторы силовые ГОСТ 1516.3-96, ГОСТ Р 52719-2007).</w:t>
      </w:r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65" w:name="_Ref184912271"/>
      <w:r>
        <w:rPr/>
        <w:t>Габаритно – установочные чертежи с присоединительными и установочными размерами и размерами силового трансформатора, выкатного элемента, трансформаторов тока.</w:t>
      </w:r>
      <w:bookmarkEnd w:id="65"/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66" w:name="_Ref184912294"/>
      <w:r>
        <w:rPr/>
        <w:t>Копии Протоколов испытаний (на механические воздействия, на коммутацию тока холостого хода трансформатора и зарядных токов воздушных и кабельных линий, электрической прочности изоляции, длины пути утечки внешней изоляции) проведенных в аккредитованной испытательной лаборатории, подтверждающих соответствие оборудования требованиям ГОСТ Р 52719-2007.</w:t>
      </w:r>
      <w:bookmarkEnd w:id="66"/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67" w:name="_Ref184912387"/>
      <w:r>
        <w:rPr/>
        <w:t>Отсканированные копии утвержденных технических условий (все страницы документа) в соответствии с которыми выпускается трансформатор.</w:t>
      </w:r>
      <w:bookmarkEnd w:id="67"/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68" w:name="_Ref184912407"/>
      <w:bookmarkStart w:id="69" w:name="_Toc184661975"/>
      <w:bookmarkEnd w:id="69"/>
      <w:r>
        <w:rPr/>
        <w:t>Руководство по эксплуатации (руководство по монтажу и наладке, техническое описание согласно ГОСТ 2.610-2019, ГОСТ 2.601-2019, ГОСТ Р 1.3-2018) производителя с описанием конструктивного исполнения закупаемого оборудования: назначение и область применения; состав оборудования; основные технические характеристики трансформатора; информацию о конструкции и принципе действия.</w:t>
      </w:r>
      <w:bookmarkEnd w:id="68"/>
    </w:p>
    <w:p>
      <w:pPr>
        <w:pStyle w:val="52"/>
        <w:widowControl w:val="false"/>
        <w:numPr>
          <w:ilvl w:val="3"/>
          <w:numId w:val="3"/>
        </w:numPr>
        <w:ind w:left="1418" w:hanging="992"/>
        <w:rPr/>
      </w:pPr>
      <w:bookmarkStart w:id="70" w:name="_Ref184912424"/>
      <w:r>
        <w:rPr/>
        <w:t xml:space="preserve">Ведомость комплекта ЗИП предусмотренная заводом изготовителем в виде отдельного документа или как составная часть паспорта или формуляра, согласно ГОСТ Р </w:t>
      </w:r>
      <w:r>
        <w:rPr>
          <w:sz w:val="24"/>
          <w:szCs w:val="24"/>
        </w:rPr>
        <w:t>52719-2007</w:t>
      </w:r>
      <w:r>
        <w:rPr/>
        <w:t xml:space="preserve"> и ГОСТ Р 2.601-2019 ГОСТ Р 2.610-2019.</w:t>
      </w:r>
      <w:bookmarkEnd w:id="70"/>
    </w:p>
    <w:p>
      <w:pPr>
        <w:pStyle w:val="Normal"/>
        <w:jc w:val="center"/>
        <w:rPr>
          <w:b/>
          <w:i/>
          <w:i/>
          <w:sz w:val="24"/>
          <w:szCs w:val="24"/>
        </w:rPr>
      </w:pPr>
      <w:r>
        <w:rPr>
          <w:b/>
          <w:iCs/>
          <w:sz w:val="24"/>
          <w:szCs w:val="24"/>
          <w:lang w:eastAsia="x-none"/>
        </w:rPr>
      </w:r>
      <w:r>
        <w:br w:type="page"/>
      </w:r>
    </w:p>
    <w:p>
      <w:pPr>
        <w:pStyle w:val="Normal"/>
        <w:spacing w:lineRule="auto" w:line="276" w:before="120" w:after="120"/>
        <w:ind w:firstLine="709"/>
        <w:jc w:val="both"/>
        <w:rPr>
          <w:b/>
          <w:iCs/>
          <w:sz w:val="24"/>
          <w:szCs w:val="24"/>
          <w:lang w:eastAsia="x-none"/>
        </w:rPr>
      </w:pPr>
      <w:r>
        <w:rPr>
          <w:b/>
          <w:iCs/>
          <w:sz w:val="24"/>
          <w:szCs w:val="24"/>
          <w:lang w:eastAsia="x-none"/>
        </w:rPr>
        <w:t>Составил:</w:t>
      </w:r>
    </w:p>
    <w:p>
      <w:pPr>
        <w:pStyle w:val="Normal"/>
        <w:spacing w:lineRule="auto" w:line="276" w:before="120" w:after="120"/>
        <w:ind w:firstLine="709"/>
        <w:jc w:val="both"/>
        <w:rPr/>
      </w:pPr>
      <w:r>
        <w:rPr>
          <w:b w:val="false"/>
          <w:bCs w:val="false"/>
          <w:iCs/>
          <w:sz w:val="24"/>
          <w:szCs w:val="24"/>
          <w:lang w:eastAsia="x-none"/>
        </w:rPr>
        <w:t>Старший мастер МРЭС</w:t>
        <w:tab/>
        <w:tab/>
        <w:tab/>
        <w:tab/>
        <w:tab/>
        <w:tab/>
        <w:t>Молокотин Д.П.</w:t>
      </w:r>
    </w:p>
    <w:p>
      <w:pPr>
        <w:pStyle w:val="Normal"/>
        <w:spacing w:lineRule="auto" w:line="276" w:before="120" w:after="120"/>
        <w:ind w:firstLine="709"/>
        <w:jc w:val="both"/>
        <w:rPr>
          <w:b/>
          <w:iCs/>
          <w:sz w:val="24"/>
          <w:szCs w:val="24"/>
          <w:lang w:eastAsia="x-none"/>
        </w:rPr>
      </w:pPr>
      <w:r>
        <w:rPr/>
      </w:r>
    </w:p>
    <w:p>
      <w:pPr>
        <w:pStyle w:val="Normal"/>
        <w:spacing w:lineRule="auto" w:line="276" w:before="120" w:after="120"/>
        <w:ind w:firstLine="709"/>
        <w:jc w:val="both"/>
        <w:rPr>
          <w:b/>
          <w:iCs/>
          <w:sz w:val="24"/>
          <w:szCs w:val="24"/>
          <w:lang w:eastAsia="x-none"/>
        </w:rPr>
      </w:pPr>
      <w:r>
        <w:rPr>
          <w:b/>
          <w:iCs/>
          <w:sz w:val="24"/>
          <w:szCs w:val="24"/>
          <w:lang w:eastAsia="x-none"/>
        </w:rPr>
        <w:t>Согласовано:</w:t>
      </w:r>
    </w:p>
    <w:p>
      <w:pPr>
        <w:pStyle w:val="Normal"/>
        <w:spacing w:lineRule="auto" w:line="276" w:before="120" w:after="120"/>
        <w:ind w:firstLine="709"/>
        <w:jc w:val="both"/>
        <w:rPr>
          <w:i/>
          <w:i/>
          <w:iCs/>
          <w:sz w:val="24"/>
          <w:szCs w:val="24"/>
          <w:shd w:fill="FFFF99" w:val="clear"/>
        </w:rPr>
      </w:pPr>
      <w:r>
        <w:rPr>
          <w:iCs/>
          <w:sz w:val="24"/>
          <w:szCs w:val="24"/>
          <w:lang w:eastAsia="x-none"/>
        </w:rPr>
        <w:t>Начальник МРЭС</w:t>
      </w:r>
      <w:r>
        <w:rPr>
          <w:iCs/>
          <w:sz w:val="24"/>
          <w:szCs w:val="24"/>
          <w:lang w:eastAsia="x-none"/>
        </w:rPr>
        <w:tab/>
        <w:tab/>
        <w:tab/>
        <w:tab/>
        <w:tab/>
        <w:tab/>
        <w:tab/>
      </w:r>
      <w:r>
        <w:rPr>
          <w:iCs/>
          <w:sz w:val="24"/>
          <w:szCs w:val="24"/>
          <w:lang w:eastAsia="x-none"/>
        </w:rPr>
        <w:t>Оконешников С.С.</w:t>
      </w:r>
    </w:p>
    <w:p>
      <w:pPr>
        <w:pStyle w:val="Normal"/>
        <w:spacing w:lineRule="auto" w:line="276" w:before="120" w:after="120"/>
        <w:ind w:firstLine="709"/>
        <w:jc w:val="both"/>
        <w:rPr>
          <w:i/>
          <w:i/>
          <w:iCs/>
          <w:sz w:val="24"/>
          <w:szCs w:val="24"/>
          <w:shd w:fill="FFFF99" w:val="clear"/>
        </w:rPr>
      </w:pPr>
      <w:r>
        <w:rPr/>
      </w:r>
    </w:p>
    <w:p>
      <w:pPr>
        <w:pStyle w:val="Normal"/>
        <w:spacing w:lineRule="auto" w:line="276" w:before="120" w:after="120"/>
        <w:ind w:firstLine="709"/>
        <w:jc w:val="both"/>
        <w:rPr>
          <w:i/>
          <w:i/>
          <w:iCs/>
          <w:sz w:val="24"/>
          <w:szCs w:val="24"/>
          <w:shd w:fill="FFFF99" w:val="clear"/>
        </w:rPr>
      </w:pPr>
      <w:r>
        <w:rPr>
          <w:iCs/>
          <w:sz w:val="24"/>
          <w:szCs w:val="24"/>
          <w:lang w:eastAsia="x-none"/>
        </w:rPr>
        <w:t>Начальник СТОиР</w:t>
        <w:tab/>
        <w:tab/>
        <w:tab/>
        <w:tab/>
        <w:tab/>
        <w:tab/>
        <w:tab/>
        <w:t>Иванов А.А.</w:t>
      </w:r>
    </w:p>
    <w:p>
      <w:pPr>
        <w:pStyle w:val="Normal"/>
        <w:spacing w:lineRule="auto" w:line="276" w:before="120" w:after="120"/>
        <w:ind w:firstLine="709"/>
        <w:jc w:val="both"/>
        <w:rPr>
          <w:i/>
          <w:i/>
          <w:iCs/>
          <w:sz w:val="24"/>
          <w:szCs w:val="24"/>
          <w:shd w:fill="FFFF99" w:val="clear"/>
        </w:rPr>
      </w:pPr>
      <w:r>
        <w:rPr/>
      </w:r>
      <w:r>
        <w:br w:type="page"/>
      </w:r>
    </w:p>
    <w:p>
      <w:pPr>
        <w:pStyle w:val="Heading1"/>
        <w:numPr>
          <w:ilvl w:val="0"/>
          <w:numId w:val="3"/>
        </w:numPr>
        <w:ind w:left="426" w:hanging="360"/>
        <w:rPr/>
      </w:pPr>
      <w:bookmarkStart w:id="71" w:name="__RefHeading___Toc37501_2426627006"/>
      <w:bookmarkStart w:id="72" w:name="_Toc51339699"/>
      <w:bookmarkStart w:id="73" w:name="_Toc46743519"/>
      <w:bookmarkStart w:id="74" w:name="_Toc205370125"/>
      <w:bookmarkEnd w:id="71"/>
      <w:r>
        <w:rPr/>
        <w:t>Приложения</w:t>
      </w:r>
      <w:bookmarkEnd w:id="72"/>
      <w:bookmarkEnd w:id="73"/>
      <w:bookmarkEnd w:id="74"/>
    </w:p>
    <w:p>
      <w:pPr>
        <w:pStyle w:val="Normal"/>
        <w:widowControl w:val="false"/>
        <w:tabs>
          <w:tab w:val="clear" w:pos="709"/>
          <w:tab w:val="left" w:pos="426" w:leader="none"/>
        </w:tabs>
        <w:spacing w:before="60" w:after="0"/>
        <w:jc w:val="both"/>
        <w:rPr>
          <w:rStyle w:val="Style8"/>
          <w:b w:val="false"/>
          <w:bCs/>
          <w:iCs/>
          <w:sz w:val="24"/>
          <w:szCs w:val="24"/>
        </w:rPr>
      </w:pPr>
      <w:r>
        <w:rPr>
          <w:b w:val="false"/>
          <w:bCs/>
          <w:iCs/>
          <w:sz w:val="24"/>
          <w:szCs w:val="24"/>
        </w:rPr>
      </w:r>
    </w:p>
    <w:p>
      <w:pPr>
        <w:pStyle w:val="Normal"/>
        <w:widowControl w:val="false"/>
        <w:tabs>
          <w:tab w:val="clear" w:pos="709"/>
          <w:tab w:val="left" w:pos="426" w:leader="none"/>
        </w:tabs>
        <w:spacing w:before="60" w:after="0"/>
        <w:jc w:val="both"/>
        <w:rPr/>
      </w:pPr>
      <w:r>
        <w:rPr>
          <w:rStyle w:val="Style8"/>
          <w:b w:val="false"/>
          <w:bCs/>
          <w:iCs/>
          <w:sz w:val="24"/>
          <w:szCs w:val="24"/>
          <w:shd w:fill="auto" w:val="clear"/>
        </w:rPr>
        <w:t>Приложение №1: Требования к оформлению и составлению документации по ценообразованию;</w:t>
      </w:r>
    </w:p>
    <w:p>
      <w:pPr>
        <w:sectPr>
          <w:headerReference w:type="default" r:id="rId10"/>
          <w:headerReference w:type="first" r:id="rId11"/>
          <w:footerReference w:type="default" r:id="rId12"/>
          <w:footerReference w:type="first" r:id="rId13"/>
          <w:type w:val="nextPage"/>
          <w:pgSz w:orient="landscape" w:w="16838" w:h="11906"/>
          <w:pgMar w:left="992" w:right="567" w:gutter="0" w:header="680" w:top="851" w:footer="737" w:bottom="851"/>
          <w:pgNumType w:fmt="decimal"/>
          <w:formProt w:val="false"/>
          <w:titlePg/>
          <w:textDirection w:val="lrTb"/>
          <w:docGrid w:type="default" w:linePitch="381" w:charSpace="0"/>
        </w:sectPr>
        <w:pStyle w:val="Normal"/>
        <w:widowControl w:val="false"/>
        <w:tabs>
          <w:tab w:val="clear" w:pos="709"/>
          <w:tab w:val="left" w:pos="426" w:leader="none"/>
        </w:tabs>
        <w:spacing w:before="60" w:after="0"/>
        <w:jc w:val="both"/>
        <w:rPr/>
      </w:pPr>
      <w:r>
        <w:rPr>
          <w:rStyle w:val="Style8"/>
          <w:b w:val="false"/>
          <w:bCs/>
          <w:iCs/>
          <w:sz w:val="24"/>
          <w:szCs w:val="24"/>
          <w:shd w:fill="auto" w:val="clear"/>
        </w:rPr>
        <w:t>Приложение №1.1: Спецификация поставляемого оборудования.</w:t>
      </w:r>
      <w:r>
        <w:br w:type="page"/>
      </w:r>
    </w:p>
    <w:p>
      <w:pPr>
        <w:pStyle w:val="Normal"/>
        <w:spacing w:before="0" w:after="120"/>
        <w:jc w:val="right"/>
        <w:rPr/>
      </w:pPr>
      <w:r>
        <w:rPr>
          <w:rStyle w:val="Style8"/>
          <w:bCs/>
          <w:caps/>
          <w:sz w:val="24"/>
          <w:szCs w:val="24"/>
          <w:shd w:fill="auto" w:val="clear"/>
        </w:rPr>
        <w:t>[</w:t>
      </w:r>
      <w:bookmarkStart w:id="75" w:name="_Hlk48222348"/>
      <w:r>
        <w:rPr>
          <w:rStyle w:val="Style8"/>
          <w:bCs/>
          <w:sz w:val="24"/>
          <w:szCs w:val="24"/>
          <w:shd w:fill="auto" w:val="clear"/>
        </w:rPr>
        <w:t>Приложение №1 к ТТ]</w:t>
      </w:r>
      <w:r>
        <w:rPr>
          <w:rStyle w:val="Style8"/>
          <w:bCs/>
          <w:caps/>
          <w:sz w:val="24"/>
          <w:szCs w:val="24"/>
          <w:shd w:fill="auto" w:val="clear"/>
        </w:rPr>
        <w:t xml:space="preserve"> </w:t>
      </w:r>
      <w:bookmarkEnd w:id="75"/>
    </w:p>
    <w:p>
      <w:pPr>
        <w:pStyle w:val="Normal"/>
        <w:spacing w:before="240" w:after="120"/>
        <w:jc w:val="center"/>
        <w:rPr>
          <w:b/>
          <w:bCs/>
          <w:i/>
          <w:i/>
          <w:caps/>
          <w:sz w:val="24"/>
          <w:szCs w:val="24"/>
          <w:shd w:fill="FFFF99" w:val="clear"/>
        </w:rPr>
      </w:pPr>
      <w:r>
        <w:rPr>
          <w:b/>
          <w:bCs/>
          <w:caps/>
          <w:sz w:val="24"/>
          <w:szCs w:val="24"/>
        </w:rPr>
        <w:t xml:space="preserve">Требования </w:t>
        <w:br/>
        <w:t>к оформлению и составлению документации по ценообразованию</w:t>
      </w:r>
    </w:p>
    <w:p>
      <w:pPr>
        <w:pStyle w:val="Normal"/>
        <w:keepNext w:val="true"/>
        <w:keepLines/>
        <w:spacing w:before="0" w:after="120"/>
        <w:rPr>
          <w:sz w:val="24"/>
          <w:szCs w:val="24"/>
        </w:rPr>
      </w:pPr>
      <w:r>
        <w:rPr>
          <w:sz w:val="24"/>
          <w:szCs w:val="24"/>
        </w:rPr>
      </w:r>
      <w:bookmarkStart w:id="76" w:name="_Hlk48224758"/>
      <w:bookmarkStart w:id="77" w:name="_Ref40301253"/>
      <w:bookmarkStart w:id="78" w:name="_Hlk48224758"/>
      <w:bookmarkStart w:id="79" w:name="_Ref40301253"/>
      <w:bookmarkEnd w:id="78"/>
      <w:bookmarkEnd w:id="79"/>
    </w:p>
    <w:p>
      <w:pPr>
        <w:pStyle w:val="Normal"/>
        <w:widowControl w:val="false"/>
        <w:tabs>
          <w:tab w:val="clear" w:pos="709"/>
          <w:tab w:val="left" w:pos="426" w:leader="none"/>
        </w:tabs>
        <w:spacing w:before="120" w:after="120"/>
        <w:jc w:val="right"/>
        <w:rPr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  <w:t>Приложение 1.1. к ТТ</w:t>
      </w:r>
    </w:p>
    <w:p>
      <w:pPr>
        <w:pStyle w:val="Normal"/>
        <w:jc w:val="center"/>
        <w:rPr>
          <w:rFonts w:eastAsia="Calibri"/>
          <w:b/>
        </w:rPr>
      </w:pPr>
      <w:r>
        <w:rPr>
          <w:rFonts w:eastAsia="Calibri"/>
          <w:b/>
        </w:rPr>
        <w:t>Спецификация поставляемого оборудования</w:t>
      </w:r>
    </w:p>
    <w:p>
      <w:pPr>
        <w:pStyle w:val="Normal"/>
        <w:jc w:val="center"/>
        <w:rPr>
          <w:rFonts w:eastAsia="Calibri"/>
          <w:b/>
        </w:rPr>
      </w:pPr>
      <w:r>
        <w:rPr>
          <w:rFonts w:eastAsia="Calibri"/>
          <w:b/>
        </w:rPr>
      </w:r>
    </w:p>
    <w:tbl>
      <w:tblPr>
        <w:tblW w:w="15047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5"/>
        <w:gridCol w:w="1508"/>
        <w:gridCol w:w="993"/>
        <w:gridCol w:w="1416"/>
        <w:gridCol w:w="1276"/>
        <w:gridCol w:w="1703"/>
        <w:gridCol w:w="1133"/>
        <w:gridCol w:w="1276"/>
        <w:gridCol w:w="1276"/>
        <w:gridCol w:w="1276"/>
        <w:gridCol w:w="1133"/>
        <w:gridCol w:w="1551"/>
      </w:tblGrid>
      <w:tr>
        <w:trPr>
          <w:trHeight w:val="1005" w:hRule="atLeast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оборудования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Тип, марка, артикул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Изготовитель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Страна происхождения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Технические характеристики (описание)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Стоимость ед. (руб. без НДС) </w:t>
            </w:r>
            <w:r>
              <w:rPr>
                <w:b/>
                <w:color w:val="000000"/>
                <w:sz w:val="20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Общая стоимость (руб. без НДС)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Срок поставки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Перечень документов, подтверждающих качество Оборудования</w:t>
            </w:r>
          </w:p>
        </w:tc>
      </w:tr>
      <w:tr>
        <w:trPr>
          <w:trHeight w:val="240" w:hRule="atLeast"/>
        </w:trPr>
        <w:tc>
          <w:tcPr>
            <w:tcW w:w="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430" w:hanging="43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11</w:t>
            </w:r>
          </w:p>
        </w:tc>
        <w:tc>
          <w:tcPr>
            <w:tcW w:w="155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12</w:t>
            </w:r>
          </w:p>
        </w:tc>
      </w:tr>
      <w:tr>
        <w:trPr>
          <w:trHeight w:val="225" w:hRule="atLeast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</w:tr>
      <w:tr>
        <w:trPr>
          <w:trHeight w:val="225" w:hRule="atLeast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Примечание</w:t>
      </w:r>
      <w:r>
        <w:rPr>
          <w:sz w:val="24"/>
          <w:szCs w:val="24"/>
        </w:rPr>
        <w:t>: в случае закупки оборудования (материалов) комплектом, в спецификации необходимо разбить его на позиции (ценообразующие и являющиеся оборудованием) с указанием полного наименования (тип, марка, артикул) каждой составляющей и стоимости за единицу.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В случае включения в спецификацию стоимости за единицу оборудования, МТР с учетом доставки, указать данное условие.</w:t>
      </w:r>
    </w:p>
    <w:sectPr>
      <w:headerReference w:type="default" r:id="rId14"/>
      <w:headerReference w:type="first" r:id="rId15"/>
      <w:footerReference w:type="default" r:id="rId16"/>
      <w:footerReference w:type="first" r:id="rId17"/>
      <w:type w:val="nextPage"/>
      <w:pgSz w:orient="landscape" w:w="16838" w:h="11906"/>
      <w:pgMar w:left="1134" w:right="539" w:gutter="0" w:header="709" w:top="1304" w:footer="709" w:bottom="92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0pt;margin-top:0.05pt;width:1.1pt;height:1.1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25</w:t>
    </w:r>
    <w:r>
      <w:rPr/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hanging="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hanging="0"/>
      </w:pPr>
      <w:rPr/>
    </w:lvl>
  </w:abstractNum>
  <w:abstractNum w:abstractNumId="2">
    <w:lvl w:ilvl="0">
      <w:start w:val="4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kern w:val="0"/>
        <w:effect w:val="none"/>
        <w:szCs w:val="28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shadow w:val="false"/>
        <w:u w:val="none"/>
        <w:kern w:val="0"/>
        <w:effect w:val="none"/>
        <w:szCs w:val="24"/>
        <w:iCs w:val="false"/>
        <w:em w:val="none"/>
        <w:emboss w:val="false"/>
        <w:imprint w:val="false"/>
        <w:vanish w:val="false"/>
        <w:rFonts w:ascii="Times New Roman" w:hAnsi="Times New Roman" w:cs="Times New Roman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russianLower"/>
      <w:lvlText w:val="(%4)"/>
      <w:lvlJc w:val="left"/>
      <w:pPr>
        <w:tabs>
          <w:tab w:val="num" w:pos="0"/>
        </w:tabs>
        <w:ind w:left="1985" w:hanging="567"/>
      </w:pPr>
      <w:rPr/>
    </w:lvl>
    <w:lvl w:ilvl="4">
      <w:start w:val="1"/>
      <w:numFmt w:val="bullet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34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701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hanging="0"/>
      </w:pPr>
      <w:rPr/>
    </w:lvl>
  </w:abstractNum>
  <w:abstractNum w:abstractNumId="5"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6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/>
    </w:lvl>
  </w:abstractNum>
  <w:abstractNum w:abstractNumId="8">
    <w:lvl w:ilvl="0">
      <w:start w:val="1"/>
      <w:numFmt w:val="russianLower"/>
      <w:lvlText w:val="%1)"/>
      <w:lvlJc w:val="righ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iPriority="99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99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uiPriority="99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76d8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next w:val="Normal"/>
    <w:link w:val="1"/>
    <w:qFormat/>
    <w:rsid w:val="003c7171"/>
    <w:pPr>
      <w:numPr>
        <w:ilvl w:val="0"/>
      </w:numPr>
      <w:ind w:left="426" w:hanging="0"/>
      <w:jc w:val="center"/>
      <w:outlineLvl w:val="0"/>
    </w:pPr>
    <w:rPr>
      <w:sz w:val="28"/>
      <w:szCs w:val="28"/>
    </w:rPr>
  </w:style>
  <w:style w:type="paragraph" w:styleId="Heading2">
    <w:name w:val="Heading 2"/>
    <w:basedOn w:val="Heading4"/>
    <w:next w:val="Normal"/>
    <w:link w:val="2"/>
    <w:qFormat/>
    <w:rsid w:val="00ea61a8"/>
    <w:pPr>
      <w:outlineLvl w:val="1"/>
    </w:pPr>
    <w:rPr/>
  </w:style>
  <w:style w:type="paragraph" w:styleId="Heading3">
    <w:name w:val="Heading 3"/>
    <w:basedOn w:val="Normal"/>
    <w:next w:val="Normal"/>
    <w:link w:val="3"/>
    <w:qFormat/>
    <w:rsid w:val="003c7171"/>
    <w:pPr>
      <w:keepNext w:val="true"/>
      <w:numPr>
        <w:ilvl w:val="2"/>
        <w:numId w:val="3"/>
      </w:numPr>
      <w:spacing w:before="120" w:after="60"/>
      <w:jc w:val="both"/>
      <w:outlineLvl w:val="2"/>
    </w:pPr>
    <w:rPr>
      <w:rFonts w:eastAsia="Calibri"/>
      <w:b/>
      <w:sz w:val="24"/>
      <w:szCs w:val="24"/>
    </w:rPr>
  </w:style>
  <w:style w:type="paragraph" w:styleId="Heading4">
    <w:name w:val="Heading 4"/>
    <w:basedOn w:val="Heading3"/>
    <w:next w:val="Normal"/>
    <w:link w:val="4"/>
    <w:qFormat/>
    <w:rsid w:val="003c7171"/>
    <w:pPr>
      <w:numPr>
        <w:ilvl w:val="0"/>
        <w:numId w:val="0"/>
      </w:numPr>
      <w:tabs>
        <w:tab w:val="clear" w:pos="709"/>
        <w:tab w:val="left" w:pos="0" w:leader="none"/>
      </w:tabs>
      <w:ind w:left="432" w:hanging="432"/>
      <w:outlineLvl w:val="3"/>
    </w:pPr>
    <w:rPr>
      <w:bCs/>
    </w:rPr>
  </w:style>
  <w:style w:type="paragraph" w:styleId="Heading5">
    <w:name w:val="Heading 5"/>
    <w:basedOn w:val="Normal"/>
    <w:next w:val="Normal"/>
    <w:link w:val="5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"/>
    <w:uiPriority w:val="9"/>
    <w:qFormat/>
    <w:rsid w:val="00d22f6d"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7"/>
    <w:uiPriority w:val="9"/>
    <w:qFormat/>
    <w:rsid w:val="00d22f6d"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8"/>
    <w:uiPriority w:val="9"/>
    <w:qFormat/>
    <w:rsid w:val="00d22f6d"/>
    <w:pPr>
      <w:keepNext w:val="true"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9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" w:customStyle="1">
    <w:name w:val="Символ сноски"/>
    <w:uiPriority w:val="99"/>
    <w:qFormat/>
    <w:rsid w:val="00d561d9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basedOn w:val="DefaultParagraphFont"/>
    <w:qFormat/>
    <w:rsid w:val="006c2f3f"/>
    <w:rPr/>
  </w:style>
  <w:style w:type="character" w:styleId="Hyperlink">
    <w:name w:val="Hyperlink"/>
    <w:uiPriority w:val="99"/>
    <w:rsid w:val="006c2f3f"/>
    <w:rPr>
      <w:color w:val="0000FF"/>
      <w:u w:val="single"/>
    </w:rPr>
  </w:style>
  <w:style w:type="character" w:styleId="Annotationreference">
    <w:name w:val="annotation reference"/>
    <w:uiPriority w:val="99"/>
    <w:semiHidden/>
    <w:qFormat/>
    <w:rsid w:val="00b714b0"/>
    <w:rPr>
      <w:sz w:val="16"/>
      <w:szCs w:val="16"/>
    </w:rPr>
  </w:style>
  <w:style w:type="character" w:styleId="Strong">
    <w:name w:val="Strong"/>
    <w:uiPriority w:val="22"/>
    <w:qFormat/>
    <w:rsid w:val="00165965"/>
    <w:rPr>
      <w:b/>
      <w:bCs/>
    </w:rPr>
  </w:style>
  <w:style w:type="character" w:styleId="6" w:customStyle="1">
    <w:name w:val="Заголовок 6 Знак"/>
    <w:uiPriority w:val="9"/>
    <w:qFormat/>
    <w:rsid w:val="00d22f6d"/>
    <w:rPr>
      <w:rFonts w:ascii="Cambria" w:hAnsi="Cambria"/>
      <w:i/>
      <w:iCs/>
      <w:color w:val="243F60"/>
    </w:rPr>
  </w:style>
  <w:style w:type="character" w:styleId="7" w:customStyle="1">
    <w:name w:val="Заголовок 7 Знак"/>
    <w:uiPriority w:val="9"/>
    <w:qFormat/>
    <w:rsid w:val="00d22f6d"/>
    <w:rPr>
      <w:rFonts w:ascii="Cambria" w:hAnsi="Cambria"/>
      <w:i/>
      <w:iCs/>
      <w:color w:val="404040"/>
    </w:rPr>
  </w:style>
  <w:style w:type="character" w:styleId="8" w:customStyle="1">
    <w:name w:val="Заголовок 8 Знак"/>
    <w:uiPriority w:val="9"/>
    <w:qFormat/>
    <w:rsid w:val="00d22f6d"/>
    <w:rPr>
      <w:rFonts w:ascii="Cambria" w:hAnsi="Cambria"/>
      <w:color w:val="4F81BD"/>
    </w:rPr>
  </w:style>
  <w:style w:type="character" w:styleId="1" w:customStyle="1">
    <w:name w:val="Заголовок 1 Знак"/>
    <w:qFormat/>
    <w:rsid w:val="003c7171"/>
    <w:rPr>
      <w:rFonts w:eastAsia="Calibri"/>
      <w:b/>
      <w:sz w:val="28"/>
      <w:szCs w:val="28"/>
    </w:rPr>
  </w:style>
  <w:style w:type="character" w:styleId="2" w:customStyle="1">
    <w:name w:val="Заголовок 2 Знак"/>
    <w:qFormat/>
    <w:rsid w:val="00ea61a8"/>
    <w:rPr>
      <w:rFonts w:eastAsia="Calibri"/>
      <w:b/>
      <w:bCs/>
      <w:sz w:val="24"/>
      <w:szCs w:val="24"/>
    </w:rPr>
  </w:style>
  <w:style w:type="character" w:styleId="3" w:customStyle="1">
    <w:name w:val="Заголовок 3 Знак"/>
    <w:qFormat/>
    <w:rsid w:val="003c7171"/>
    <w:rPr>
      <w:rFonts w:eastAsia="Calibri"/>
      <w:b/>
      <w:sz w:val="24"/>
      <w:szCs w:val="24"/>
    </w:rPr>
  </w:style>
  <w:style w:type="character" w:styleId="4" w:customStyle="1">
    <w:name w:val="Заголовок 4 Знак"/>
    <w:qFormat/>
    <w:rsid w:val="003c7171"/>
    <w:rPr>
      <w:rFonts w:eastAsia="Calibri"/>
      <w:b/>
      <w:bCs/>
      <w:sz w:val="24"/>
      <w:szCs w:val="24"/>
    </w:rPr>
  </w:style>
  <w:style w:type="character" w:styleId="5" w:customStyle="1">
    <w:name w:val="Заголовок 5 Знак"/>
    <w:uiPriority w:val="9"/>
    <w:qFormat/>
    <w:rsid w:val="00d22f6d"/>
    <w:rPr>
      <w:b/>
      <w:bCs/>
      <w:i/>
      <w:iCs/>
      <w:sz w:val="26"/>
      <w:szCs w:val="26"/>
    </w:rPr>
  </w:style>
  <w:style w:type="character" w:styleId="9" w:customStyle="1">
    <w:name w:val="Заголовок 9 Знак"/>
    <w:uiPriority w:val="9"/>
    <w:qFormat/>
    <w:rsid w:val="00d22f6d"/>
    <w:rPr>
      <w:rFonts w:ascii="Arial" w:hAnsi="Arial" w:cs="Arial"/>
      <w:sz w:val="22"/>
      <w:szCs w:val="22"/>
    </w:rPr>
  </w:style>
  <w:style w:type="character" w:styleId="Style1" w:customStyle="1">
    <w:name w:val="Название Знак"/>
    <w:link w:val="15"/>
    <w:uiPriority w:val="10"/>
    <w:qFormat/>
    <w:rsid w:val="00d22f6d"/>
    <w:rPr>
      <w:sz w:val="28"/>
    </w:rPr>
  </w:style>
  <w:style w:type="character" w:styleId="Style2" w:customStyle="1">
    <w:name w:val="Подзаголовок Знак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</w:rPr>
  </w:style>
  <w:style w:type="character" w:styleId="Emphasis">
    <w:name w:val="Emphasis"/>
    <w:uiPriority w:val="20"/>
    <w:qFormat/>
    <w:rsid w:val="00d22f6d"/>
    <w:rPr>
      <w:i/>
      <w:iCs/>
    </w:rPr>
  </w:style>
  <w:style w:type="character" w:styleId="21" w:customStyle="1">
    <w:name w:val="Цитата 2 Знак"/>
    <w:link w:val="Quote"/>
    <w:uiPriority w:val="29"/>
    <w:qFormat/>
    <w:rsid w:val="00d22f6d"/>
    <w:rPr>
      <w:rFonts w:ascii="Calibri" w:hAnsi="Calibri" w:eastAsia="Calibri"/>
      <w:i/>
      <w:iCs/>
      <w:color w:val="000000"/>
    </w:rPr>
  </w:style>
  <w:style w:type="character" w:styleId="Style3" w:customStyle="1">
    <w:name w:val="Выделенная цитата Знак"/>
    <w:link w:val="IntenseQuote"/>
    <w:uiPriority w:val="30"/>
    <w:qFormat/>
    <w:rsid w:val="00d22f6d"/>
    <w:rPr>
      <w:rFonts w:ascii="Calibri" w:hAnsi="Calibri" w:eastAsia="Calibri"/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d22f6d"/>
    <w:rPr>
      <w:i/>
      <w:iCs/>
      <w:color w:val="808080"/>
    </w:rPr>
  </w:style>
  <w:style w:type="character" w:styleId="IntenseEmphasis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d22f6d"/>
    <w:rPr>
      <w:b/>
      <w:bCs/>
      <w:smallCaps/>
      <w:spacing w:val="5"/>
    </w:rPr>
  </w:style>
  <w:style w:type="character" w:styleId="Style4" w:customStyle="1">
    <w:name w:val="Электронная подпись Знак"/>
    <w:link w:val="E-mailSignature"/>
    <w:uiPriority w:val="99"/>
    <w:qFormat/>
    <w:rsid w:val="00d22f6d"/>
    <w:rPr>
      <w:rFonts w:eastAsia="Calibri"/>
      <w:sz w:val="24"/>
      <w:szCs w:val="24"/>
    </w:rPr>
  </w:style>
  <w:style w:type="character" w:styleId="11" w:customStyle="1">
    <w:name w:val="Подпункт Знак1"/>
    <w:link w:val="Style25"/>
    <w:qFormat/>
    <w:locked/>
    <w:rsid w:val="00d22f6d"/>
    <w:rPr>
      <w:sz w:val="28"/>
    </w:rPr>
  </w:style>
  <w:style w:type="character" w:styleId="Style5" w:customStyle="1">
    <w:name w:val="Текст сноски Знак"/>
    <w:uiPriority w:val="99"/>
    <w:qFormat/>
    <w:rsid w:val="00d22f6d"/>
    <w:rPr/>
  </w:style>
  <w:style w:type="character" w:styleId="Style6" w:customStyle="1">
    <w:name w:val="Основной текст Знак"/>
    <w:qFormat/>
    <w:rsid w:val="004459a5"/>
    <w:rPr>
      <w:sz w:val="28"/>
      <w:szCs w:val="28"/>
    </w:rPr>
  </w:style>
  <w:style w:type="character" w:styleId="Blk" w:customStyle="1">
    <w:name w:val="blk"/>
    <w:qFormat/>
    <w:rsid w:val="00431ace"/>
    <w:rPr/>
  </w:style>
  <w:style w:type="character" w:styleId="Style7" w:customStyle="1">
    <w:name w:val="Абзац списка Знак"/>
    <w:link w:val="ListParagraph"/>
    <w:uiPriority w:val="34"/>
    <w:qFormat/>
    <w:locked/>
    <w:rsid w:val="00310eb4"/>
    <w:rPr>
      <w:rFonts w:eastAsia="Calibri"/>
      <w:sz w:val="24"/>
      <w:szCs w:val="24"/>
    </w:rPr>
  </w:style>
  <w:style w:type="character" w:styleId="Style8" w:customStyle="1">
    <w:name w:val="комментарий"/>
    <w:qFormat/>
    <w:rsid w:val="0025139e"/>
    <w:rPr>
      <w:b/>
      <w:i/>
      <w:shd w:fill="FFFF99" w:val="clear"/>
    </w:rPr>
  </w:style>
  <w:style w:type="character" w:styleId="Style9" w:customStyle="1">
    <w:name w:val="Подподпункт Знак"/>
    <w:link w:val="Style33"/>
    <w:qFormat/>
    <w:locked/>
    <w:rsid w:val="0025139e"/>
    <w:rPr>
      <w:sz w:val="26"/>
      <w:szCs w:val="26"/>
    </w:rPr>
  </w:style>
  <w:style w:type="character" w:styleId="31" w:customStyle="1">
    <w:name w:val="УРОВЕНЬ_Абзац_тип3 Знак"/>
    <w:link w:val="36"/>
    <w:qFormat/>
    <w:rsid w:val="00b56f46"/>
    <w:rPr>
      <w:rFonts w:eastAsia="Calibri"/>
      <w:sz w:val="26"/>
      <w:szCs w:val="28"/>
      <w:lang w:eastAsia="en-US"/>
    </w:rPr>
  </w:style>
  <w:style w:type="character" w:styleId="Style10" w:customStyle="1">
    <w:name w:val="Верхний колонтитул Знак"/>
    <w:uiPriority w:val="99"/>
    <w:qFormat/>
    <w:rsid w:val="002f31af"/>
    <w:rPr>
      <w:sz w:val="24"/>
      <w:szCs w:val="24"/>
    </w:rPr>
  </w:style>
  <w:style w:type="character" w:styleId="Style11" w:customStyle="1">
    <w:name w:val="Текст примечания Знак"/>
    <w:link w:val="Annotationtext"/>
    <w:semiHidden/>
    <w:qFormat/>
    <w:rsid w:val="00dc0f7d"/>
    <w:rPr/>
  </w:style>
  <w:style w:type="character" w:styleId="Style12" w:customStyle="1">
    <w:name w:val="Текст концевой сноски Знак"/>
    <w:basedOn w:val="DefaultParagraphFont"/>
    <w:qFormat/>
    <w:rsid w:val="003879d4"/>
    <w:rPr/>
  </w:style>
  <w:style w:type="character" w:styleId="Style13" w:customStyle="1">
    <w:name w:val="Символ концевой сноски"/>
    <w:qFormat/>
    <w:rsid w:val="003879d4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22" w:customStyle="1">
    <w:name w:val="Пункт2 Знак"/>
    <w:link w:val="24"/>
    <w:qFormat/>
    <w:rsid w:val="00de52bc"/>
    <w:rPr>
      <w:b/>
      <w:sz w:val="28"/>
    </w:rPr>
  </w:style>
  <w:style w:type="character" w:styleId="12" w:customStyle="1">
    <w:name w:val="УРОВЕНЬ_1. Знак"/>
    <w:link w:val="19"/>
    <w:qFormat/>
    <w:rsid w:val="004a17ae"/>
    <w:rPr>
      <w:rFonts w:eastAsia="Calibri"/>
      <w:caps/>
      <w:sz w:val="28"/>
      <w:szCs w:val="28"/>
      <w:lang w:eastAsia="en-US"/>
    </w:rPr>
  </w:style>
  <w:style w:type="character" w:styleId="13" w:customStyle="1">
    <w:name w:val="Неразрешенное упоминание1"/>
    <w:basedOn w:val="DefaultParagraphFont"/>
    <w:uiPriority w:val="99"/>
    <w:semiHidden/>
    <w:unhideWhenUsed/>
    <w:qFormat/>
    <w:rsid w:val="00c36f30"/>
    <w:rPr>
      <w:color w:val="605E5C"/>
      <w:shd w:fill="E1DFDD" w:val="clear"/>
    </w:rPr>
  </w:style>
  <w:style w:type="character" w:styleId="32" w:customStyle="1">
    <w:name w:val="Основной текст с отступом 3 Знак"/>
    <w:link w:val="BodyTextIndent3"/>
    <w:qFormat/>
    <w:rsid w:val="00c36f30"/>
    <w:rPr>
      <w:sz w:val="16"/>
      <w:szCs w:val="16"/>
    </w:rPr>
  </w:style>
  <w:style w:type="character" w:styleId="ConsPlusNormal" w:customStyle="1">
    <w:name w:val="ConsPlusNormal Знак"/>
    <w:link w:val="ConsPlusNormal1"/>
    <w:qFormat/>
    <w:rsid w:val="008532d7"/>
    <w:rPr>
      <w:rFonts w:ascii="Arial" w:hAnsi="Arial" w:cs="Arial"/>
    </w:rPr>
  </w:style>
  <w:style w:type="character" w:styleId="Style14" w:customStyle="1">
    <w:name w:val="курсив ТТ Знак"/>
    <w:basedOn w:val="DefaultParagraphFont"/>
    <w:link w:val="Style37"/>
    <w:qFormat/>
    <w:rsid w:val="00e9495a"/>
    <w:rPr>
      <w:iCs/>
      <w:sz w:val="24"/>
      <w:szCs w:val="24"/>
    </w:rPr>
  </w:style>
  <w:style w:type="character" w:styleId="Style15" w:customStyle="1">
    <w:name w:val="НТ Знак"/>
    <w:basedOn w:val="DefaultParagraphFont"/>
    <w:link w:val="Style38"/>
    <w:qFormat/>
    <w:rsid w:val="003c7171"/>
    <w:rPr>
      <w:b/>
      <w:sz w:val="24"/>
      <w:szCs w:val="24"/>
    </w:rPr>
  </w:style>
  <w:style w:type="character" w:styleId="Style16" w:customStyle="1">
    <w:name w:val="На) Знак"/>
    <w:basedOn w:val="Style7"/>
    <w:link w:val="Style39"/>
    <w:qFormat/>
    <w:rsid w:val="003c7171"/>
    <w:rPr>
      <w:rFonts w:eastAsia="Calibri"/>
      <w:sz w:val="24"/>
      <w:szCs w:val="24"/>
    </w:rPr>
  </w:style>
  <w:style w:type="character" w:styleId="51" w:customStyle="1">
    <w:name w:val="Н5 Знак"/>
    <w:basedOn w:val="3"/>
    <w:link w:val="52"/>
    <w:qFormat/>
    <w:rsid w:val="001f5355"/>
    <w:rPr>
      <w:rFonts w:eastAsia="Calibri"/>
      <w:b w:val="false"/>
      <w:sz w:val="24"/>
      <w:szCs w:val="24"/>
    </w:rPr>
  </w:style>
  <w:style w:type="character" w:styleId="Style17" w:customStyle="1">
    <w:name w:val="Ссылка указателя"/>
    <w:qFormat/>
    <w:rPr/>
  </w:style>
  <w:style w:type="character" w:styleId="Style18" w:customStyle="1">
    <w:name w:val="Символ нумерации"/>
    <w:qFormat/>
    <w:rPr/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link w:val="Style6"/>
    <w:rsid w:val="0076353a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" w:customStyle="1">
    <w:name w:val="index heading11"/>
    <w:basedOn w:val="Title"/>
    <w:qFormat/>
    <w:pPr/>
    <w:rPr/>
  </w:style>
  <w:style w:type="paragraph" w:styleId="Style21" w:customStyle="1">
    <w:name w:val="Название раздела инструкции"/>
    <w:basedOn w:val="Normal"/>
    <w:autoRedefine/>
    <w:qFormat/>
    <w:rsid w:val="00275328"/>
    <w:pPr>
      <w:jc w:val="center"/>
    </w:pPr>
    <w:rPr>
      <w:b/>
    </w:rPr>
  </w:style>
  <w:style w:type="paragraph" w:styleId="Style22" w:customStyle="1">
    <w:name w:val="Раздел положения"/>
    <w:basedOn w:val="Normal"/>
    <w:autoRedefine/>
    <w:qFormat/>
    <w:rsid w:val="007475ee"/>
    <w:pPr>
      <w:numPr>
        <w:ilvl w:val="0"/>
        <w:numId w:val="1"/>
      </w:numPr>
      <w:spacing w:before="80" w:after="80"/>
      <w:jc w:val="center"/>
    </w:pPr>
    <w:rPr>
      <w:b/>
      <w:sz w:val="32"/>
      <w:szCs w:val="32"/>
    </w:rPr>
  </w:style>
  <w:style w:type="paragraph" w:styleId="Style23" w:customStyle="1">
    <w:name w:val="Подраздел раздела положения"/>
    <w:basedOn w:val="Normal"/>
    <w:autoRedefine/>
    <w:qFormat/>
    <w:rsid w:val="007475ee"/>
    <w:pPr>
      <w:numPr>
        <w:ilvl w:val="1"/>
        <w:numId w:val="1"/>
      </w:numPr>
      <w:spacing w:before="80" w:after="80"/>
      <w:jc w:val="both"/>
    </w:pPr>
    <w:rPr/>
  </w:style>
  <w:style w:type="paragraph" w:styleId="FootnoteText">
    <w:name w:val="Footnote Text"/>
    <w:basedOn w:val="Normal"/>
    <w:link w:val="Style5"/>
    <w:uiPriority w:val="99"/>
    <w:rsid w:val="00d561d9"/>
    <w:pPr/>
    <w:rPr>
      <w:sz w:val="20"/>
      <w:szCs w:val="20"/>
    </w:rPr>
  </w:style>
  <w:style w:type="paragraph" w:styleId="14" w:customStyle="1">
    <w:name w:val="Шапка 1"/>
    <w:basedOn w:val="Normal"/>
    <w:qFormat/>
    <w:rsid w:val="00d561d9"/>
    <w:pPr>
      <w:pBdr>
        <w:bottom w:val="thickThinSmallGap" w:sz="24" w:space="1" w:color="000000"/>
      </w:pBdr>
      <w:spacing w:before="0" w:after="240"/>
      <w:jc w:val="center"/>
    </w:pPr>
    <w:rPr>
      <w:sz w:val="22"/>
      <w:szCs w:val="22"/>
    </w:rPr>
  </w:style>
  <w:style w:type="paragraph" w:styleId="23" w:customStyle="1">
    <w:name w:val="Шапка 2"/>
    <w:basedOn w:val="Normal"/>
    <w:qFormat/>
    <w:rsid w:val="00d561d9"/>
    <w:pPr>
      <w:pBdr>
        <w:bottom w:val="thickThinSmallGap" w:sz="24" w:space="1" w:color="000000"/>
      </w:pBdr>
      <w:spacing w:before="0" w:after="120"/>
      <w:jc w:val="center"/>
    </w:pPr>
    <w:rPr>
      <w:b/>
      <w:sz w:val="22"/>
      <w:szCs w:val="22"/>
    </w:rPr>
  </w:style>
  <w:style w:type="paragraph" w:styleId="33" w:customStyle="1">
    <w:name w:val="Шапка 3"/>
    <w:basedOn w:val="Normal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styleId="15" w:customStyle="1">
    <w:name w:val="Название1"/>
    <w:basedOn w:val="Normal"/>
    <w:link w:val="Style1"/>
    <w:uiPriority w:val="10"/>
    <w:qFormat/>
    <w:rsid w:val="00bd4014"/>
    <w:pPr>
      <w:jc w:val="center"/>
    </w:pPr>
    <w:rPr>
      <w:szCs w:val="20"/>
    </w:rPr>
  </w:style>
  <w:style w:type="paragraph" w:styleId="Style24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rsid w:val="0076353a"/>
    <w:pPr>
      <w:tabs>
        <w:tab w:val="clear" w:pos="709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rsid w:val="0076353a"/>
    <w:pPr>
      <w:ind w:left="360" w:hanging="0"/>
    </w:pPr>
    <w:rPr>
      <w:sz w:val="24"/>
      <w:szCs w:val="24"/>
    </w:rPr>
  </w:style>
  <w:style w:type="paragraph" w:styleId="Footer">
    <w:name w:val="Footer"/>
    <w:basedOn w:val="Normal"/>
    <w:rsid w:val="0076353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qFormat/>
    <w:rsid w:val="0076353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rsid w:val="0076353a"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32"/>
    <w:qFormat/>
    <w:rsid w:val="0076353a"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qFormat/>
    <w:rsid w:val="0076353a"/>
    <w:pPr>
      <w:spacing w:lineRule="auto" w:line="480" w:before="0" w:after="120"/>
    </w:pPr>
    <w:rPr/>
  </w:style>
  <w:style w:type="paragraph" w:styleId="BlockText">
    <w:name w:val="Block Text"/>
    <w:basedOn w:val="Normal"/>
    <w:qFormat/>
    <w:rsid w:val="0076353a"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5" w:customStyle="1">
    <w:name w:val="Подпункт"/>
    <w:basedOn w:val="Normal"/>
    <w:link w:val="11"/>
    <w:qFormat/>
    <w:rsid w:val="0076353a"/>
    <w:pPr>
      <w:tabs>
        <w:tab w:val="clear" w:pos="709"/>
        <w:tab w:val="left" w:pos="1134" w:leader="none"/>
      </w:tabs>
      <w:snapToGrid w:val="false"/>
      <w:spacing w:lineRule="auto" w:line="360"/>
      <w:ind w:left="1134" w:hanging="1134"/>
      <w:jc w:val="both"/>
    </w:pPr>
    <w:rPr>
      <w:szCs w:val="20"/>
    </w:rPr>
  </w:style>
  <w:style w:type="paragraph" w:styleId="24" w:customStyle="1">
    <w:name w:val="Пункт2"/>
    <w:basedOn w:val="Normal"/>
    <w:link w:val="22"/>
    <w:qFormat/>
    <w:rsid w:val="0076353a"/>
    <w:pPr>
      <w:keepNext w:val="true"/>
      <w:tabs>
        <w:tab w:val="clear" w:pos="709"/>
        <w:tab w:val="left" w:pos="1134" w:leader="none"/>
      </w:tabs>
      <w:snapToGrid w:val="false"/>
      <w:spacing w:before="240" w:after="120"/>
      <w:ind w:left="1134" w:hanging="1134"/>
      <w:outlineLvl w:val="2"/>
    </w:pPr>
    <w:rPr>
      <w:b/>
      <w:szCs w:val="20"/>
    </w:rPr>
  </w:style>
  <w:style w:type="paragraph" w:styleId="TOC1">
    <w:name w:val="TOC 1"/>
    <w:basedOn w:val="Normal"/>
    <w:next w:val="Normal"/>
    <w:autoRedefine/>
    <w:uiPriority w:val="39"/>
    <w:rsid w:val="00421b6b"/>
    <w:pPr>
      <w:spacing w:before="120" w:after="0"/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01756"/>
    <w:pPr>
      <w:ind w:left="280" w:hanging="0"/>
    </w:pPr>
    <w:rPr>
      <w:rFonts w:cs="Calibri" w:cstheme="minorHAnsi"/>
      <w:sz w:val="20"/>
      <w:szCs w:val="20"/>
    </w:rPr>
  </w:style>
  <w:style w:type="paragraph" w:styleId="Style26" w:customStyle="1">
    <w:name w:val="Раздел регламента"/>
    <w:basedOn w:val="Normal"/>
    <w:qFormat/>
    <w:rsid w:val="00e228fa"/>
    <w:pPr/>
    <w:rPr/>
  </w:style>
  <w:style w:type="paragraph" w:styleId="Style27" w:customStyle="1">
    <w:name w:val="Приложение к регламенту"/>
    <w:basedOn w:val="Normal"/>
    <w:qFormat/>
    <w:rsid w:val="00e228fa"/>
    <w:pPr>
      <w:jc w:val="right"/>
    </w:pPr>
    <w:rPr/>
  </w:style>
  <w:style w:type="paragraph" w:styleId="TOC2">
    <w:name w:val="TOC 2"/>
    <w:basedOn w:val="Normal"/>
    <w:next w:val="Normal"/>
    <w:autoRedefine/>
    <w:uiPriority w:val="39"/>
    <w:rsid w:val="00c01756"/>
    <w:pPr>
      <w:spacing w:before="240" w:after="0"/>
    </w:pPr>
    <w:rPr>
      <w:rFonts w:cs="Calibri" w:cstheme="minorHAnsi"/>
      <w:b/>
      <w:bCs/>
      <w:sz w:val="20"/>
      <w:szCs w:val="20"/>
    </w:rPr>
  </w:style>
  <w:style w:type="paragraph" w:styleId="BalloonText">
    <w:name w:val="Balloon Text"/>
    <w:basedOn w:val="Normal"/>
    <w:semiHidden/>
    <w:qFormat/>
    <w:rsid w:val="00197c91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semiHidden/>
    <w:qFormat/>
    <w:rsid w:val="00b714b0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semiHidden/>
    <w:qFormat/>
    <w:rsid w:val="00b714b0"/>
    <w:pPr/>
    <w:rPr>
      <w:b/>
      <w:bCs/>
    </w:rPr>
  </w:style>
  <w:style w:type="paragraph" w:styleId="16" w:customStyle="1">
    <w:name w:val="Обычный (веб)1"/>
    <w:basedOn w:val="Normal"/>
    <w:uiPriority w:val="99"/>
    <w:qFormat/>
    <w:rsid w:val="002f559a"/>
    <w:pPr>
      <w:spacing w:beforeAutospacing="1" w:afterAutospacing="1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f57628"/>
    <w:pPr>
      <w:ind w:left="196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f57628"/>
    <w:pPr>
      <w:ind w:left="84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c01756"/>
    <w:pPr>
      <w:ind w:left="560" w:hanging="0"/>
    </w:pPr>
    <w:rPr>
      <w:rFonts w:cs="Calibri" w:cstheme="minorHAnsi"/>
      <w:sz w:val="20"/>
      <w:szCs w:val="20"/>
    </w:rPr>
  </w:style>
  <w:style w:type="paragraph" w:styleId="25" w:customStyle="1">
    <w:name w:val="Раздел положения 2"/>
    <w:basedOn w:val="Normal"/>
    <w:qFormat/>
    <w:rsid w:val="002c1e0e"/>
    <w:pPr>
      <w:pageBreakBefore/>
      <w:jc w:val="both"/>
      <w:outlineLvl w:val="0"/>
    </w:pPr>
    <w:rPr>
      <w:b/>
    </w:rPr>
  </w:style>
  <w:style w:type="paragraph" w:styleId="Style28" w:customStyle="1">
    <w:name w:val="Знак Знак Знак Знак Знак Знак Знак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uiPriority w:val="1"/>
    <w:qFormat/>
    <w:rsid w:val="00d22f6d"/>
    <w:pPr>
      <w:spacing w:lineRule="auto" w:line="360"/>
    </w:pPr>
    <w:rPr>
      <w:rFonts w:eastAsia="Calibri"/>
      <w:sz w:val="24"/>
      <w:szCs w:val="24"/>
    </w:rPr>
  </w:style>
  <w:style w:type="paragraph" w:styleId="Caption111" w:customStyle="1">
    <w:name w:val="caption111"/>
    <w:basedOn w:val="Normal"/>
    <w:next w:val="Normal"/>
    <w:uiPriority w:val="35"/>
    <w:qFormat/>
    <w:rsid w:val="00d22f6d"/>
    <w:pPr/>
    <w:rPr>
      <w:rFonts w:eastAsia="Calibri"/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tyle2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Style7"/>
    <w:uiPriority w:val="34"/>
    <w:qFormat/>
    <w:rsid w:val="00d22f6d"/>
    <w:pPr>
      <w:spacing w:before="0" w:after="0"/>
      <w:ind w:left="72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next w:val="Normal"/>
    <w:link w:val="21"/>
    <w:uiPriority w:val="29"/>
    <w:qFormat/>
    <w:rsid w:val="00d22f6d"/>
    <w:pPr/>
    <w:rPr>
      <w:rFonts w:ascii="Calibri" w:hAnsi="Calibri" w:eastAsia="Calibri"/>
      <w:i/>
      <w:iCs/>
      <w:color w:val="000000"/>
      <w:sz w:val="20"/>
      <w:szCs w:val="20"/>
    </w:rPr>
  </w:style>
  <w:style w:type="paragraph" w:styleId="IntenseQuote">
    <w:name w:val="Intense Quote"/>
    <w:basedOn w:val="Normal"/>
    <w:next w:val="Normal"/>
    <w:link w:val="Style3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</w:rPr>
  </w:style>
  <w:style w:type="paragraph" w:styleId="IndexHeading">
    <w:name w:val="Index Heading"/>
    <w:basedOn w:val="Style19"/>
    <w:pPr/>
    <w:rPr/>
  </w:style>
  <w:style w:type="paragraph" w:styleId="TOCHeading">
    <w:name w:val="TOC Heading"/>
    <w:basedOn w:val="Heading1"/>
    <w:next w:val="Normal"/>
    <w:uiPriority w:val="39"/>
    <w:qFormat/>
    <w:rsid w:val="00d22f6d"/>
    <w:pPr>
      <w:keepLines/>
      <w:spacing w:before="480" w:after="60"/>
      <w:outlineLvl w:val="9"/>
    </w:pPr>
    <w:rPr>
      <w:rFonts w:ascii="Cambria" w:hAnsi="Cambria"/>
      <w:bCs/>
      <w:color w:val="365F91"/>
    </w:rPr>
  </w:style>
  <w:style w:type="paragraph" w:styleId="E-mailSignature">
    <w:name w:val="E-mail Signature"/>
    <w:basedOn w:val="Normal"/>
    <w:link w:val="Style4"/>
    <w:uiPriority w:val="99"/>
    <w:unhideWhenUsed/>
    <w:qFormat/>
    <w:rsid w:val="00d22f6d"/>
    <w:pPr/>
    <w:rPr>
      <w:rFonts w:eastAsia="Calibri"/>
      <w:sz w:val="24"/>
      <w:szCs w:val="24"/>
    </w:rPr>
  </w:style>
  <w:style w:type="paragraph" w:styleId="Style29" w:customStyle="1">
    <w:name w:val="Знак"/>
    <w:basedOn w:val="Normal"/>
    <w:qFormat/>
    <w:rsid w:val="00d22f6d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4" w:customStyle="1">
    <w:name w:val="Нумерованный список ур3"/>
    <w:basedOn w:val="Normal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styleId="311" w:customStyle="1">
    <w:name w:val="Список 31"/>
    <w:basedOn w:val="Normal"/>
    <w:qFormat/>
    <w:rsid w:val="00d22f6d"/>
    <w:pPr>
      <w:numPr>
        <w:ilvl w:val="0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26" w:customStyle="1">
    <w:name w:val="Нумерованный список ур2"/>
    <w:basedOn w:val="Normal"/>
    <w:qFormat/>
    <w:rsid w:val="00d22f6d"/>
    <w:pPr>
      <w:numPr>
        <w:ilvl w:val="1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uiPriority w:val="99"/>
    <w:semiHidden/>
    <w:qFormat/>
    <w:rsid w:val="00d22f6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1" w:customStyle="1">
    <w:name w:val="ConsPlusNormal"/>
    <w:link w:val="ConsPlusNormal"/>
    <w:qFormat/>
    <w:rsid w:val="00d22f6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35" w:customStyle="1">
    <w:name w:val="Знак Знак3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30" w:customStyle="1">
    <w:name w:val="Пункт"/>
    <w:basedOn w:val="Normal"/>
    <w:qFormat/>
    <w:rsid w:val="00d22f6d"/>
    <w:pPr>
      <w:widowControl w:val="false"/>
      <w:tabs>
        <w:tab w:val="clear" w:pos="709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7" w:customStyle="1">
    <w:name w:val="Абзац списка1"/>
    <w:basedOn w:val="Normal"/>
    <w:qFormat/>
    <w:rsid w:val="00d22f6d"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31" w:customStyle="1">
    <w:name w:val="Таблица"/>
    <w:basedOn w:val="Normal"/>
    <w:qFormat/>
    <w:rsid w:val="0041356c"/>
    <w:pPr>
      <w:keepNext w:val="true"/>
      <w:spacing w:before="60" w:after="60"/>
      <w:jc w:val="center"/>
    </w:pPr>
    <w:rPr>
      <w:rFonts w:eastAsia="Calibri"/>
      <w:b/>
      <w:sz w:val="24"/>
      <w:szCs w:val="24"/>
    </w:rPr>
  </w:style>
  <w:style w:type="paragraph" w:styleId="Style32" w:customStyle="1">
    <w:name w:val="Таблица шапка"/>
    <w:basedOn w:val="Normal"/>
    <w:qFormat/>
    <w:rsid w:val="00f64089"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3" w:customStyle="1">
    <w:name w:val="Подподпункт"/>
    <w:basedOn w:val="Style25"/>
    <w:link w:val="Style9"/>
    <w:qFormat/>
    <w:rsid w:val="0025139e"/>
    <w:pPr>
      <w:tabs>
        <w:tab w:val="clear" w:pos="1134"/>
        <w:tab w:val="left" w:pos="5104" w:leader="none"/>
      </w:tabs>
      <w:snapToGrid w:val="true"/>
      <w:spacing w:lineRule="auto" w:line="240" w:before="120" w:after="0"/>
      <w:ind w:left="5104" w:hanging="567"/>
    </w:pPr>
    <w:rPr>
      <w:sz w:val="26"/>
      <w:szCs w:val="26"/>
    </w:rPr>
  </w:style>
  <w:style w:type="paragraph" w:styleId="Style34" w:customStyle="1">
    <w:name w:val="УРОВЕНЬ_(а)"/>
    <w:basedOn w:val="ListParagraph"/>
    <w:qFormat/>
    <w:rsid w:val="00b56f46"/>
    <w:pPr>
      <w:numPr>
        <w:ilvl w:val="3"/>
        <w:numId w:val="4"/>
      </w:numPr>
      <w:spacing w:lineRule="exact" w:line="360" w:before="120" w:after="0"/>
      <w:contextualSpacing w:val="false"/>
      <w:jc w:val="both"/>
      <w:outlineLvl w:val="3"/>
    </w:pPr>
    <w:rPr>
      <w:sz w:val="26"/>
      <w:szCs w:val="28"/>
      <w:lang w:eastAsia="en-US"/>
    </w:rPr>
  </w:style>
  <w:style w:type="paragraph" w:styleId="-" w:customStyle="1">
    <w:name w:val="УРОВЕНЬ_-"/>
    <w:basedOn w:val="ListParagraph"/>
    <w:qFormat/>
    <w:rsid w:val="00b56f46"/>
    <w:pPr>
      <w:numPr>
        <w:ilvl w:val="4"/>
        <w:numId w:val="4"/>
      </w:numPr>
      <w:spacing w:lineRule="exact" w:line="360" w:before="120" w:after="0"/>
      <w:contextualSpacing w:val="false"/>
      <w:jc w:val="both"/>
      <w:outlineLvl w:val="4"/>
    </w:pPr>
    <w:rPr>
      <w:sz w:val="26"/>
      <w:szCs w:val="28"/>
      <w:lang w:eastAsia="en-US"/>
    </w:rPr>
  </w:style>
  <w:style w:type="paragraph" w:styleId="27" w:customStyle="1">
    <w:name w:val="УРОВЕНЬ_Абзац_тип2"/>
    <w:basedOn w:val="ListParagraph"/>
    <w:qFormat/>
    <w:rsid w:val="00b56f46"/>
    <w:pPr>
      <w:numPr>
        <w:ilvl w:val="6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36" w:customStyle="1">
    <w:name w:val="УРОВЕНЬ_Абзац_тип3"/>
    <w:basedOn w:val="ListParagraph"/>
    <w:link w:val="31"/>
    <w:qFormat/>
    <w:rsid w:val="00b56f46"/>
    <w:pPr>
      <w:numPr>
        <w:ilvl w:val="7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Style35" w:customStyle="1">
    <w:name w:val="УРОВЕНЬ_Подпись"/>
    <w:basedOn w:val="ListParagraph"/>
    <w:qFormat/>
    <w:rsid w:val="00b56f46"/>
    <w:pPr>
      <w:keepNext w:val="true"/>
      <w:numPr>
        <w:ilvl w:val="5"/>
        <w:numId w:val="4"/>
      </w:numPr>
      <w:spacing w:lineRule="exact" w:line="360" w:before="120" w:after="120"/>
      <w:contextualSpacing w:val="false"/>
      <w:jc w:val="right"/>
      <w:outlineLvl w:val="3"/>
    </w:pPr>
    <w:rPr>
      <w:sz w:val="26"/>
      <w:szCs w:val="28"/>
      <w:lang w:eastAsia="en-US"/>
    </w:rPr>
  </w:style>
  <w:style w:type="paragraph" w:styleId="18" w:customStyle="1">
    <w:name w:val="Стиль Заголовок 1 + по ширине"/>
    <w:basedOn w:val="Heading1"/>
    <w:qFormat/>
    <w:rsid w:val="005773b2"/>
    <w:pPr>
      <w:keepLines/>
      <w:numPr>
        <w:ilvl w:val="0"/>
        <w:numId w:val="0"/>
      </w:numPr>
      <w:tabs>
        <w:tab w:val="clear" w:pos="709"/>
        <w:tab w:val="left" w:pos="567" w:leader="none"/>
      </w:tabs>
      <w:spacing w:before="480" w:after="240"/>
      <w:ind w:left="567" w:hanging="567"/>
      <w:jc w:val="both"/>
    </w:pPr>
    <w:rPr>
      <w:rFonts w:ascii="Arial" w:hAnsi="Arial" w:eastAsia="Times New Roman"/>
      <w:bCs/>
      <w:kern w:val="2"/>
      <w:sz w:val="40"/>
      <w:szCs w:val="20"/>
    </w:rPr>
  </w:style>
  <w:style w:type="paragraph" w:styleId="EndnoteText">
    <w:name w:val="Endnote Text"/>
    <w:basedOn w:val="Normal"/>
    <w:link w:val="Style12"/>
    <w:rsid w:val="003879d4"/>
    <w:pPr/>
    <w:rPr>
      <w:sz w:val="20"/>
      <w:szCs w:val="20"/>
    </w:rPr>
  </w:style>
  <w:style w:type="paragraph" w:styleId="28" w:customStyle="1">
    <w:name w:val="Заголовок 2 КВВ"/>
    <w:basedOn w:val="Normal"/>
    <w:qFormat/>
    <w:rsid w:val="00cb35e8"/>
    <w:pPr>
      <w:keepNext w:val="true"/>
      <w:numPr>
        <w:ilvl w:val="0"/>
        <w:numId w:val="5"/>
      </w:numPr>
      <w:spacing w:before="120" w:after="120"/>
      <w:jc w:val="both"/>
      <w:outlineLvl w:val="0"/>
    </w:pPr>
    <w:rPr>
      <w:b/>
      <w:kern w:val="2"/>
      <w:sz w:val="24"/>
      <w:szCs w:val="20"/>
    </w:rPr>
  </w:style>
  <w:style w:type="paragraph" w:styleId="Style36" w:customStyle="1">
    <w:name w:val="Таблица текст"/>
    <w:basedOn w:val="Normal"/>
    <w:qFormat/>
    <w:rsid w:val="00343e95"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styleId="19" w:customStyle="1">
    <w:name w:val="УРОВЕНЬ_1."/>
    <w:basedOn w:val="ListParagraph"/>
    <w:link w:val="12"/>
    <w:qFormat/>
    <w:rsid w:val="004a17ae"/>
    <w:pPr>
      <w:keepNext w:val="true"/>
      <w:keepLines/>
      <w:spacing w:lineRule="auto" w:line="276" w:before="240" w:after="120"/>
      <w:ind w:left="0" w:hanging="0"/>
      <w:contextualSpacing w:val="false"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next w:val="Normal"/>
    <w:autoRedefine/>
    <w:unhideWhenUsed/>
    <w:rsid w:val="00d849aa"/>
    <w:pPr>
      <w:ind w:left="112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849aa"/>
    <w:pPr>
      <w:ind w:left="140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849aa"/>
    <w:pPr>
      <w:ind w:left="168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Headertext" w:customStyle="1">
    <w:name w:val="headertext"/>
    <w:basedOn w:val="Normal"/>
    <w:qFormat/>
    <w:rsid w:val="00c93b90"/>
    <w:pPr>
      <w:spacing w:beforeAutospacing="1" w:afterAutospacing="1"/>
    </w:pPr>
    <w:rPr>
      <w:sz w:val="24"/>
      <w:szCs w:val="24"/>
    </w:rPr>
  </w:style>
  <w:style w:type="paragraph" w:styleId="Formattext" w:customStyle="1">
    <w:name w:val="formattext"/>
    <w:basedOn w:val="Normal"/>
    <w:qFormat/>
    <w:rsid w:val="00c93b90"/>
    <w:pPr>
      <w:spacing w:beforeAutospacing="1" w:afterAutospacing="1"/>
    </w:pPr>
    <w:rPr>
      <w:sz w:val="24"/>
      <w:szCs w:val="24"/>
    </w:rPr>
  </w:style>
  <w:style w:type="paragraph" w:styleId="ListNum" w:customStyle="1">
    <w:name w:val="ListNum"/>
    <w:qFormat/>
    <w:rsid w:val="00893936"/>
    <w:pPr>
      <w:widowControl w:val="false"/>
      <w:tabs>
        <w:tab w:val="clear" w:pos="709"/>
        <w:tab w:val="left" w:pos="284" w:leader="none"/>
        <w:tab w:val="left" w:pos="1260" w:leader="none"/>
      </w:tabs>
      <w:suppressAutoHyphens w:val="true"/>
      <w:bidi w:val="0"/>
      <w:spacing w:before="60" w:after="0"/>
      <w:jc w:val="both"/>
    </w:pPr>
    <w:rPr>
      <w:rFonts w:ascii="Times New Roman" w:hAnsi="Times New Roman" w:eastAsia="Times New Roman" w:cs="Times New Roman"/>
      <w:color w:val="000000"/>
      <w:kern w:val="0"/>
      <w:sz w:val="22"/>
      <w:szCs w:val="22"/>
      <w:u w:val="none" w:color="000000"/>
      <w:lang w:val="ru-RU" w:eastAsia="ru-RU" w:bidi="ar-SA"/>
    </w:rPr>
  </w:style>
  <w:style w:type="paragraph" w:styleId="Default" w:customStyle="1">
    <w:name w:val="Default"/>
    <w:qFormat/>
    <w:rsid w:val="008449f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37" w:customStyle="1">
    <w:name w:val="курсив ТТ"/>
    <w:basedOn w:val="Normal"/>
    <w:link w:val="Style14"/>
    <w:qFormat/>
    <w:rsid w:val="00e9495a"/>
    <w:pPr/>
    <w:rPr>
      <w:iCs/>
      <w:sz w:val="24"/>
      <w:szCs w:val="24"/>
    </w:rPr>
  </w:style>
  <w:style w:type="paragraph" w:styleId="Style38" w:customStyle="1">
    <w:name w:val="НТ"/>
    <w:basedOn w:val="Normal"/>
    <w:link w:val="Style15"/>
    <w:qFormat/>
    <w:rsid w:val="003c7171"/>
    <w:pPr/>
    <w:rPr>
      <w:b/>
      <w:sz w:val="24"/>
      <w:szCs w:val="24"/>
    </w:rPr>
  </w:style>
  <w:style w:type="paragraph" w:styleId="Style39" w:customStyle="1">
    <w:name w:val="На)"/>
    <w:basedOn w:val="ListParagraph"/>
    <w:link w:val="Style16"/>
    <w:qFormat/>
    <w:rsid w:val="003c7171"/>
    <w:pPr>
      <w:numPr>
        <w:ilvl w:val="0"/>
        <w:numId w:val="8"/>
      </w:numPr>
    </w:pPr>
    <w:rPr/>
  </w:style>
  <w:style w:type="paragraph" w:styleId="52" w:customStyle="1">
    <w:name w:val="Н5"/>
    <w:basedOn w:val="Heading3"/>
    <w:link w:val="51"/>
    <w:qFormat/>
    <w:rsid w:val="001f5355"/>
    <w:pPr>
      <w:numPr>
        <w:ilvl w:val="3"/>
      </w:numPr>
      <w:ind w:left="1418" w:hanging="992"/>
      <w:outlineLvl w:val="9"/>
    </w:pPr>
    <w:rPr>
      <w:b w:val="false"/>
    </w:rPr>
  </w:style>
  <w:style w:type="paragraph" w:styleId="Style40" w:customStyle="1">
    <w:name w:val="Содержимое врезки"/>
    <w:basedOn w:val="Normal"/>
    <w:qFormat/>
    <w:pPr/>
    <w:rPr/>
  </w:style>
  <w:style w:type="paragraph" w:styleId="Style41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42" w:customStyle="1">
    <w:name w:val="Заголовок таблицы"/>
    <w:basedOn w:val="Style41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110" w:customStyle="1">
    <w:name w:val="Стиль1"/>
    <w:uiPriority w:val="99"/>
    <w:qFormat/>
    <w:rsid w:val="00f001e4"/>
  </w:style>
  <w:style w:type="numbering" w:styleId="29" w:customStyle="1">
    <w:name w:val="Стиль2"/>
    <w:uiPriority w:val="99"/>
    <w:qFormat/>
    <w:rsid w:val="006629c9"/>
  </w:style>
  <w:style w:type="numbering" w:styleId="26123354601" w:customStyle="1">
    <w:name w:val="26123354601"/>
    <w:qFormat/>
  </w:style>
  <w:style w:type="table" w:default="1" w:styleId="a6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e">
    <w:name w:val="Table Grid"/>
    <w:basedOn w:val="a6"/>
    <w:uiPriority w:val="39"/>
    <w:rsid w:val="007635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c">
    <w:name w:val="Сетка таблицы1"/>
    <w:basedOn w:val="a6"/>
    <w:uiPriority w:val="39"/>
    <w:rsid w:val="00214b9f"/>
    <w:rPr>
      <w:rFonts w:asciiTheme="minorHAnsi" w:hAnsiTheme="minorHAnsi" w:eastAsiaTheme="minorHAnsi" w:cstheme="minorBidi"/>
      <w:lang w:eastAsia="en-US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80EB7-0B30-4A8A-A3E1-B7781AD2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Application>AlterOffice/3.4.0.9$Linux_X86_64 LibreOffice_project/b8daf9e823b1a5463a2f48435ddc2e8696e7d4fc</Application>
  <AppVersion>15.0000</AppVersion>
  <Pages>25</Pages>
  <Words>3533</Words>
  <Characters>24263</Characters>
  <CharactersWithSpaces>27027</CharactersWithSpaces>
  <Paragraphs>772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2025-04-22T23:12:00Z</dcterms:created>
  <dc:creator>Быстров Олег Геннадьевич</dc:creator>
  <dc:description/>
  <dc:language>ru-RU</dc:language>
  <cp:lastModifiedBy>sergeevii@Elektra.local</cp:lastModifiedBy>
  <cp:lastPrinted>2025-06-30T17:03:00Z</cp:lastPrinted>
  <dcterms:modified xsi:type="dcterms:W3CDTF">2026-04-28T16:01:11Z</dcterms:modified>
  <cp:revision>29</cp:revision>
  <dc:subject/>
  <dc:title>Российское открытое акционерное общество энергетики и электрификации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