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D" w:rsidRPr="00050FEA" w:rsidRDefault="00486AED" w:rsidP="00E732DB">
      <w:pPr>
        <w:keepNext/>
        <w:keepLines/>
        <w:rPr>
          <w:rFonts w:eastAsia="Calibri"/>
          <w:b/>
          <w:sz w:val="26"/>
          <w:szCs w:val="26"/>
          <w:lang w:val="en-US"/>
        </w:rPr>
      </w:pPr>
      <w:bookmarkStart w:id="0" w:name="_Toc137554584"/>
      <w:bookmarkStart w:id="1" w:name="_Toc139856287"/>
      <w:bookmarkStart w:id="2" w:name="_Toc141696704"/>
    </w:p>
    <w:p w:rsidR="00D96FD4" w:rsidRDefault="00D96FD4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784E3F" w:rsidRDefault="00784E3F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D96FD4" w:rsidRDefault="00D96FD4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486AED" w:rsidRDefault="00486AED" w:rsidP="002C1A99">
      <w:pPr>
        <w:keepNext/>
        <w:keepLines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:rsidR="00D16518" w:rsidRPr="00A81284" w:rsidRDefault="00D16518" w:rsidP="00E732DB">
      <w:pPr>
        <w:keepNext/>
        <w:keepLines/>
        <w:rPr>
          <w:rFonts w:eastAsia="Calibri"/>
          <w:b/>
          <w:sz w:val="26"/>
          <w:szCs w:val="26"/>
        </w:rPr>
      </w:pPr>
    </w:p>
    <w:p w:rsidR="00D16518" w:rsidRPr="004A3B75" w:rsidRDefault="004A3B75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color w:val="000000" w:themeColor="text1"/>
          <w:sz w:val="24"/>
          <w:szCs w:val="24"/>
        </w:rPr>
      </w:pPr>
      <w:r w:rsidRPr="004A3B75">
        <w:rPr>
          <w:color w:val="000000" w:themeColor="text1"/>
          <w:sz w:val="24"/>
          <w:szCs w:val="24"/>
          <w:shd w:val="clear" w:color="auto" w:fill="FFFFFF"/>
        </w:rPr>
        <w:t>"ОКПД2 80.10.12.200 Услуги охраны объектов электростанции, специализированной организацией» для нужд филиала ПЭС «Лабытнанги» </w:t>
      </w: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EE5F2C" w:rsidRDefault="00AD16FF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 w:rsidR="00C517DE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3</w:t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3</w:t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4</w:t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4504DB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4</w:t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4504DB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4</w:t>
        </w:r>
      </w:hyperlink>
    </w:p>
    <w:p w:rsidR="00EE5F2C" w:rsidRDefault="00C807D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4</w:t>
        </w:r>
      </w:hyperlink>
    </w:p>
    <w:p w:rsidR="00EE5F2C" w:rsidRDefault="00C807D3" w:rsidP="004504DB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</w:t>
        </w:r>
        <w:r w:rsidR="004504DB">
          <w:rPr>
            <w:rStyle w:val="af6"/>
            <w:noProof/>
          </w:rPr>
          <w:t>м на этапе исполнения договора)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4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C807D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5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5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B016D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lang w:val="en-US"/>
        </w:rPr>
        <w:t xml:space="preserve">     </w:t>
      </w: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5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C807D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5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B016D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lang w:val="en-US"/>
        </w:rPr>
        <w:t xml:space="preserve">     </w:t>
      </w:r>
      <w:hyperlink w:anchor="_Toc54643706" w:history="1">
        <w:r w:rsidRPr="00F03232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  <w:lang w:val="en-US"/>
          </w:rPr>
          <w:t>5</w:t>
        </w:r>
      </w:hyperlink>
    </w:p>
    <w:p w:rsidR="00EE5F2C" w:rsidRDefault="00C807D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B016D2" w:rsidRPr="00F03232">
          <w:rPr>
            <w:rStyle w:val="af6"/>
            <w:noProof/>
          </w:rPr>
          <w:t>Таблица 3. Требования к срокам оказания услуг</w:t>
        </w:r>
        <w:r w:rsidR="00B016D2">
          <w:rPr>
            <w:noProof/>
            <w:webHidden/>
          </w:rPr>
          <w:tab/>
        </w:r>
        <w:r w:rsidR="00B016D2">
          <w:rPr>
            <w:noProof/>
            <w:webHidden/>
            <w:lang w:val="en-US"/>
          </w:rPr>
          <w:t>5</w:t>
        </w:r>
      </w:hyperlink>
    </w:p>
    <w:p w:rsidR="00EE5F2C" w:rsidRDefault="00C807D3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AD16FF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AD16FF">
          <w:rPr>
            <w:noProof/>
            <w:webHidden/>
          </w:rPr>
        </w:r>
        <w:r w:rsidR="00AD16FF">
          <w:rPr>
            <w:noProof/>
            <w:webHidden/>
          </w:rPr>
          <w:fldChar w:fldCharType="separate"/>
        </w:r>
        <w:r w:rsidR="004414CE">
          <w:rPr>
            <w:noProof/>
            <w:webHidden/>
          </w:rPr>
          <w:t>6</w:t>
        </w:r>
        <w:r w:rsidR="00AD16FF">
          <w:rPr>
            <w:noProof/>
            <w:webHidden/>
          </w:rPr>
          <w:fldChar w:fldCharType="end"/>
        </w:r>
      </w:hyperlink>
    </w:p>
    <w:p w:rsidR="00EE5F2C" w:rsidRDefault="00C807D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B016D2" w:rsidRPr="00F03232">
          <w:rPr>
            <w:rStyle w:val="af6"/>
            <w:noProof/>
          </w:rPr>
          <w:t>Таблица 4. Требования к качеству услуг</w:t>
        </w:r>
        <w:r w:rsidR="00B016D2">
          <w:rPr>
            <w:noProof/>
            <w:webHidden/>
          </w:rPr>
          <w:tab/>
        </w:r>
        <w:r w:rsidR="00B016D2">
          <w:rPr>
            <w:noProof/>
            <w:webHidden/>
            <w:lang w:val="en-US"/>
          </w:rPr>
          <w:t>6</w:t>
        </w:r>
      </w:hyperlink>
    </w:p>
    <w:p w:rsidR="00EE5F2C" w:rsidRDefault="00C807D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671CC4">
          <w:rPr>
            <w:noProof/>
            <w:webHidden/>
          </w:rPr>
          <w:t>28</w:t>
        </w:r>
      </w:hyperlink>
    </w:p>
    <w:p w:rsidR="00EE5F2C" w:rsidRDefault="00EE5F2C" w:rsidP="004504D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:rsidR="00EE5F2C" w:rsidRDefault="00EE5F2C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:rsidR="00D16518" w:rsidRPr="003C19FB" w:rsidRDefault="00AD16FF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D66E81" w:rsidRDefault="00D66E81" w:rsidP="00D36B1F">
      <w:pPr>
        <w:pStyle w:val="1"/>
        <w:keepLines/>
        <w:ind w:left="357" w:hanging="357"/>
        <w:jc w:val="center"/>
        <w:rPr>
          <w:caps/>
        </w:rPr>
      </w:pPr>
      <w:bookmarkStart w:id="3" w:name="_Toc54643694"/>
      <w:r w:rsidRPr="00D66E81">
        <w:lastRenderedPageBreak/>
        <w:t>Общие сведения</w:t>
      </w:r>
      <w:bookmarkEnd w:id="3"/>
    </w:p>
    <w:p w:rsidR="00DC0F7D" w:rsidRDefault="00B16377" w:rsidP="00D849AA">
      <w:pPr>
        <w:pStyle w:val="4"/>
      </w:pPr>
      <w:bookmarkStart w:id="4" w:name="_Toc46743505"/>
      <w:bookmarkStart w:id="5" w:name="_Toc54643695"/>
      <w:r w:rsidRPr="00C4463B">
        <w:t>Обозначения и сокращения</w:t>
      </w:r>
      <w:bookmarkEnd w:id="4"/>
      <w:bookmarkEnd w:id="5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:rsidTr="00DE198E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E1AC8" w:rsidRPr="00D57409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DE198E">
              <w:rPr>
                <w:rStyle w:val="afff6"/>
                <w:b w:val="0"/>
                <w:bCs/>
                <w:i w:val="0"/>
                <w:sz w:val="24"/>
                <w:szCs w:val="24"/>
              </w:rPr>
              <w:t>ГБР</w:t>
            </w:r>
          </w:p>
        </w:tc>
        <w:tc>
          <w:tcPr>
            <w:tcW w:w="7998" w:type="dxa"/>
            <w:shd w:val="clear" w:color="auto" w:fill="auto"/>
          </w:tcPr>
          <w:p w:rsidR="008E1AC8" w:rsidRPr="00D57409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Группа быстрого реагирования</w:t>
            </w:r>
          </w:p>
        </w:tc>
      </w:tr>
      <w:tr w:rsidR="008E1AC8" w:rsidRPr="00C4463B" w:rsidTr="00DE198E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E1AC8" w:rsidRPr="00D57409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ВН</w:t>
            </w:r>
          </w:p>
        </w:tc>
        <w:tc>
          <w:tcPr>
            <w:tcW w:w="7998" w:type="dxa"/>
            <w:shd w:val="clear" w:color="auto" w:fill="auto"/>
          </w:tcPr>
          <w:p w:rsidR="008E1AC8" w:rsidRPr="00D57409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Видеонаблюдение</w:t>
            </w:r>
          </w:p>
        </w:tc>
      </w:tr>
      <w:tr w:rsidR="00DE198E" w:rsidRPr="00C4463B" w:rsidTr="00DE198E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DE198E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ОС</w:t>
            </w:r>
          </w:p>
        </w:tc>
        <w:tc>
          <w:tcPr>
            <w:tcW w:w="7998" w:type="dxa"/>
            <w:shd w:val="clear" w:color="auto" w:fill="auto"/>
          </w:tcPr>
          <w:p w:rsidR="00DE198E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Охранная сигнализация</w:t>
            </w:r>
          </w:p>
        </w:tc>
      </w:tr>
      <w:tr w:rsidR="00DE198E" w:rsidRPr="00C4463B" w:rsidTr="00DE198E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DE198E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ПЭС</w:t>
            </w:r>
          </w:p>
        </w:tc>
        <w:tc>
          <w:tcPr>
            <w:tcW w:w="7998" w:type="dxa"/>
            <w:shd w:val="clear" w:color="auto" w:fill="auto"/>
          </w:tcPr>
          <w:p w:rsidR="00DE198E" w:rsidRDefault="00DE19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Передвижная электростанция</w:t>
            </w:r>
          </w:p>
        </w:tc>
      </w:tr>
      <w:tr w:rsidR="00AC1CAC" w:rsidRPr="00C4463B" w:rsidTr="00DE198E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C1CAC" w:rsidRDefault="00AC1CA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ТМЦ</w:t>
            </w:r>
          </w:p>
        </w:tc>
        <w:tc>
          <w:tcPr>
            <w:tcW w:w="7998" w:type="dxa"/>
            <w:shd w:val="clear" w:color="auto" w:fill="auto"/>
          </w:tcPr>
          <w:p w:rsidR="00AC1CAC" w:rsidRDefault="00AC1CAC" w:rsidP="00AC1C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Товарно-материальные ценности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:rsidR="00E917D0" w:rsidRPr="00C4463B" w:rsidRDefault="001A685D" w:rsidP="00213F03">
      <w:pPr>
        <w:pStyle w:val="4"/>
      </w:pPr>
      <w:bookmarkStart w:id="7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:rsidR="00D57409" w:rsidRPr="00D849AA" w:rsidRDefault="004A3B75" w:rsidP="001A6389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bookmarkStart w:id="8" w:name="_Toc46743507"/>
      <w:r w:rsidRPr="004A3B75">
        <w:rPr>
          <w:color w:val="000000" w:themeColor="text1"/>
          <w:sz w:val="24"/>
          <w:szCs w:val="24"/>
          <w:shd w:val="clear" w:color="auto" w:fill="FFFFFF"/>
        </w:rPr>
        <w:t>"ОКПД2 80.10.12.200 Услуги охраны объектов электростанции, специализированной организацией» для нужд филиала ПЭС «Лабытнанги»</w:t>
      </w:r>
    </w:p>
    <w:p w:rsidR="00E917D0" w:rsidRDefault="00B7169F" w:rsidP="002E5016">
      <w:pPr>
        <w:pStyle w:val="4"/>
        <w:spacing w:before="240"/>
        <w:ind w:left="431" w:hanging="431"/>
      </w:pPr>
      <w:bookmarkStart w:id="9" w:name="_Toc54643697"/>
      <w:r w:rsidRPr="00C4463B">
        <w:t>Цель</w:t>
      </w:r>
      <w:r w:rsidRPr="00D849AA">
        <w:t xml:space="preserve"> </w:t>
      </w:r>
      <w:bookmarkEnd w:id="8"/>
      <w:r w:rsidR="00A57026">
        <w:t>оказания услуг</w:t>
      </w:r>
      <w:bookmarkEnd w:id="9"/>
    </w:p>
    <w:p w:rsidR="001A6389" w:rsidRPr="00EE40C7" w:rsidRDefault="001A6389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 xml:space="preserve">Обеспечение охраны объектов электростанции посредством организации круглосуточных </w:t>
      </w:r>
      <w:r w:rsidR="00EE40C7">
        <w:rPr>
          <w:sz w:val="24"/>
          <w:szCs w:val="24"/>
        </w:rPr>
        <w:t xml:space="preserve">контрольно-пропускных </w:t>
      </w:r>
      <w:r w:rsidRPr="00EE40C7">
        <w:rPr>
          <w:sz w:val="24"/>
          <w:szCs w:val="24"/>
        </w:rPr>
        <w:t>постов</w:t>
      </w:r>
      <w:r w:rsidR="005B6723">
        <w:rPr>
          <w:sz w:val="24"/>
          <w:szCs w:val="24"/>
        </w:rPr>
        <w:t xml:space="preserve"> (</w:t>
      </w:r>
      <w:r w:rsidR="00330F89" w:rsidRPr="00C807D3">
        <w:rPr>
          <w:sz w:val="24"/>
          <w:szCs w:val="24"/>
        </w:rPr>
        <w:t>3</w:t>
      </w:r>
      <w:r w:rsidR="005B6723">
        <w:rPr>
          <w:sz w:val="24"/>
          <w:szCs w:val="24"/>
        </w:rPr>
        <w:t xml:space="preserve"> поста)</w:t>
      </w:r>
      <w:r w:rsidRPr="00EE40C7">
        <w:rPr>
          <w:sz w:val="24"/>
          <w:szCs w:val="24"/>
        </w:rPr>
        <w:t>.</w:t>
      </w:r>
    </w:p>
    <w:p w:rsidR="001A6389" w:rsidRPr="00EE40C7" w:rsidRDefault="001A6389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Обеспечение на охраняем</w:t>
      </w:r>
      <w:r w:rsidR="00330F89">
        <w:rPr>
          <w:sz w:val="24"/>
          <w:szCs w:val="24"/>
        </w:rPr>
        <w:t>ых</w:t>
      </w:r>
      <w:r w:rsidRPr="00EE40C7">
        <w:rPr>
          <w:sz w:val="24"/>
          <w:szCs w:val="24"/>
        </w:rPr>
        <w:t xml:space="preserve"> объект</w:t>
      </w:r>
      <w:r w:rsidR="00330F89">
        <w:rPr>
          <w:sz w:val="24"/>
          <w:szCs w:val="24"/>
        </w:rPr>
        <w:t>ах</w:t>
      </w:r>
      <w:r w:rsidRPr="00EE40C7">
        <w:rPr>
          <w:sz w:val="24"/>
          <w:szCs w:val="24"/>
        </w:rPr>
        <w:t xml:space="preserve"> пропускного и </w:t>
      </w:r>
      <w:proofErr w:type="spellStart"/>
      <w:r w:rsidRPr="00EE40C7">
        <w:rPr>
          <w:sz w:val="24"/>
          <w:szCs w:val="24"/>
        </w:rPr>
        <w:t>внутриобъектового</w:t>
      </w:r>
      <w:proofErr w:type="spellEnd"/>
      <w:r w:rsidRPr="00EE40C7">
        <w:rPr>
          <w:sz w:val="24"/>
          <w:szCs w:val="24"/>
        </w:rPr>
        <w:t xml:space="preserve"> режимов, осуществление постоянного видеонаблюдения за периметром территории охраняем</w:t>
      </w:r>
      <w:r w:rsidR="00330F89">
        <w:rPr>
          <w:sz w:val="24"/>
          <w:szCs w:val="24"/>
        </w:rPr>
        <w:t>ых</w:t>
      </w:r>
      <w:r w:rsidRPr="00EE40C7">
        <w:rPr>
          <w:sz w:val="24"/>
          <w:szCs w:val="24"/>
        </w:rPr>
        <w:t xml:space="preserve"> объект</w:t>
      </w:r>
      <w:r w:rsidR="00330F89">
        <w:rPr>
          <w:sz w:val="24"/>
          <w:szCs w:val="24"/>
        </w:rPr>
        <w:t>ов</w:t>
      </w:r>
      <w:r w:rsidRPr="00EE40C7">
        <w:rPr>
          <w:sz w:val="24"/>
          <w:szCs w:val="24"/>
        </w:rPr>
        <w:t xml:space="preserve"> в соответствии с установленными Заказчиком правилами.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Обеспечение антитеррористической защищённости</w:t>
      </w:r>
      <w:r>
        <w:rPr>
          <w:sz w:val="24"/>
          <w:szCs w:val="24"/>
        </w:rPr>
        <w:t xml:space="preserve"> охраняемых объектов</w:t>
      </w:r>
      <w:r w:rsidRPr="00EE40C7">
        <w:rPr>
          <w:sz w:val="24"/>
          <w:szCs w:val="24"/>
        </w:rPr>
        <w:t>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Обеспечение охраны имущества Заказчика, в том числе и при эвакуации.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Обеспечение охраны общественного порядка</w:t>
      </w:r>
      <w:r>
        <w:rPr>
          <w:sz w:val="24"/>
          <w:szCs w:val="24"/>
        </w:rPr>
        <w:t xml:space="preserve"> на территории электростанции</w:t>
      </w:r>
      <w:r w:rsidR="00330F89">
        <w:rPr>
          <w:sz w:val="24"/>
          <w:szCs w:val="24"/>
        </w:rPr>
        <w:t xml:space="preserve"> и административного здания</w:t>
      </w:r>
      <w:r w:rsidRPr="00EE40C7">
        <w:rPr>
          <w:sz w:val="24"/>
          <w:szCs w:val="24"/>
        </w:rPr>
        <w:t>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Контроль за соблюдением пожарной безопасности на охраняемом объекте.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Круглосуточное взаимодействие с представителем Заказчика, а также с территориальными подразделениями правоохран</w:t>
      </w:r>
      <w:r>
        <w:rPr>
          <w:sz w:val="24"/>
          <w:szCs w:val="24"/>
        </w:rPr>
        <w:t>ительных органов, МЧС, аварийно-</w:t>
      </w:r>
      <w:r w:rsidRPr="00EE40C7">
        <w:rPr>
          <w:sz w:val="24"/>
          <w:szCs w:val="24"/>
        </w:rPr>
        <w:t>диспетчерскими службами.</w:t>
      </w:r>
    </w:p>
    <w:p w:rsidR="00EE40C7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Оперативное информирование Заказчика, подразделений МВД России, МЧС России и других оперативных служб о происшествиях/правонарушениях и чрезвычайных ситуациях природного и техногенного характера на охраняемом объекте, в части их касающихся.</w:t>
      </w:r>
    </w:p>
    <w:p w:rsidR="001A6389" w:rsidRPr="00EE40C7" w:rsidRDefault="00EE40C7" w:rsidP="00EE40C7">
      <w:pPr>
        <w:ind w:firstLine="431"/>
        <w:jc w:val="both"/>
        <w:rPr>
          <w:sz w:val="24"/>
          <w:szCs w:val="24"/>
        </w:rPr>
      </w:pPr>
      <w:r w:rsidRPr="00EE40C7">
        <w:rPr>
          <w:sz w:val="24"/>
          <w:szCs w:val="24"/>
        </w:rPr>
        <w:t>Информирование Заказчика обо всех событиях, имевших место в процессе несения дежурства, затрагивающих интересы Заказчика и могущих повлиять на безопасность его деятельности.</w:t>
      </w:r>
    </w:p>
    <w:p w:rsidR="008C0BFE" w:rsidRPr="008C0BFE" w:rsidRDefault="00232850" w:rsidP="008C0BFE">
      <w:pPr>
        <w:pStyle w:val="4"/>
        <w:rPr>
          <w:rStyle w:val="afff6"/>
          <w:b/>
          <w:i w:val="0"/>
          <w:shd w:val="clear" w:color="auto" w:fill="auto"/>
        </w:rPr>
      </w:pPr>
      <w:bookmarkStart w:id="10" w:name="_Toc46743508"/>
      <w:bookmarkStart w:id="11" w:name="_Toc54643698"/>
      <w:r w:rsidRPr="00C4463B">
        <w:t>Существующее положение</w:t>
      </w:r>
      <w:bookmarkEnd w:id="10"/>
      <w:r w:rsidR="00A76B76">
        <w:t xml:space="preserve"> </w:t>
      </w:r>
      <w:bookmarkStart w:id="12" w:name="_Toc54643699"/>
      <w:bookmarkEnd w:id="11"/>
    </w:p>
    <w:p w:rsidR="00CE753A" w:rsidRPr="008D241F" w:rsidRDefault="00CE753A" w:rsidP="008C0BFE">
      <w:pPr>
        <w:pStyle w:val="4"/>
        <w:numPr>
          <w:ilvl w:val="0"/>
          <w:numId w:val="0"/>
        </w:numPr>
        <w:ind w:left="432"/>
        <w:rPr>
          <w:rStyle w:val="afff6"/>
          <w:b/>
          <w:i w:val="0"/>
          <w:shd w:val="clear" w:color="auto" w:fill="auto"/>
        </w:rPr>
      </w:pPr>
      <w:r>
        <w:t>Таблица 1</w:t>
      </w:r>
      <w:r w:rsidR="00F27719">
        <w:t>.</w:t>
      </w:r>
      <w:r>
        <w:t xml:space="preserve"> </w:t>
      </w:r>
      <w:r w:rsidRPr="00C4463B">
        <w:t xml:space="preserve">Перечень </w:t>
      </w:r>
      <w:r w:rsidR="00A57026">
        <w:t>о</w:t>
      </w:r>
      <w:r>
        <w:t xml:space="preserve">бъектов </w:t>
      </w:r>
      <w:r w:rsidR="00A57026">
        <w:t>з</w:t>
      </w:r>
      <w:r>
        <w:t>аказчика</w:t>
      </w:r>
      <w:bookmarkEnd w:id="1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:rsidTr="00932ACA">
        <w:tc>
          <w:tcPr>
            <w:tcW w:w="817" w:type="dxa"/>
          </w:tcPr>
          <w:p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:rsidTr="00932ACA">
        <w:tc>
          <w:tcPr>
            <w:tcW w:w="817" w:type="dxa"/>
          </w:tcPr>
          <w:p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:rsidTr="00932ACA">
        <w:trPr>
          <w:trHeight w:val="881"/>
        </w:trPr>
        <w:tc>
          <w:tcPr>
            <w:tcW w:w="817" w:type="dxa"/>
          </w:tcPr>
          <w:p w:rsidR="008D241F" w:rsidRDefault="008D241F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  <w:p w:rsidR="00932ACA" w:rsidRPr="008D241F" w:rsidRDefault="008D241F" w:rsidP="008D241F">
            <w:r>
              <w:t>1.</w:t>
            </w:r>
          </w:p>
        </w:tc>
        <w:tc>
          <w:tcPr>
            <w:tcW w:w="2864" w:type="dxa"/>
            <w:shd w:val="clear" w:color="auto" w:fill="auto"/>
          </w:tcPr>
          <w:p w:rsidR="00932ACA" w:rsidRPr="00D57409" w:rsidRDefault="008D241F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Территория электростанции филиала ПЭС «Лабытнанги»</w:t>
            </w:r>
          </w:p>
        </w:tc>
        <w:tc>
          <w:tcPr>
            <w:tcW w:w="2126" w:type="dxa"/>
            <w:shd w:val="clear" w:color="auto" w:fill="auto"/>
          </w:tcPr>
          <w:p w:rsidR="00932ACA" w:rsidRPr="00D57409" w:rsidRDefault="008D241F" w:rsidP="000554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629400, ЯНАО, г. Лабытнанги, ул. Энергетиков </w:t>
            </w:r>
          </w:p>
        </w:tc>
        <w:tc>
          <w:tcPr>
            <w:tcW w:w="2126" w:type="dxa"/>
          </w:tcPr>
          <w:p w:rsidR="00932ACA" w:rsidRPr="00D57409" w:rsidRDefault="008D241F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32ACA" w:rsidRPr="005973D2" w:rsidRDefault="005973D2" w:rsidP="004D1AE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Общая площадь 66234 м</w:t>
            </w:r>
            <w:r w:rsidRPr="005973D2">
              <w:rPr>
                <w:iCs/>
                <w:sz w:val="24"/>
                <w:szCs w:val="24"/>
                <w:vertAlign w:val="superscript"/>
              </w:rPr>
              <w:t>2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iCs/>
                <w:sz w:val="24"/>
                <w:szCs w:val="24"/>
              </w:rPr>
              <w:t>/ Общее кол-во объектов 3</w:t>
            </w:r>
            <w:r w:rsidR="004D1AE3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 шт.</w:t>
            </w:r>
          </w:p>
        </w:tc>
      </w:tr>
      <w:tr w:rsidR="00330F89" w:rsidRPr="005A3EA4" w:rsidTr="00932ACA">
        <w:trPr>
          <w:trHeight w:val="881"/>
        </w:trPr>
        <w:tc>
          <w:tcPr>
            <w:tcW w:w="817" w:type="dxa"/>
          </w:tcPr>
          <w:p w:rsidR="00330F89" w:rsidRDefault="00330F89" w:rsidP="00A57026">
            <w:pPr>
              <w:pStyle w:val="aff5"/>
              <w:numPr>
                <w:ilvl w:val="0"/>
                <w:numId w:val="28"/>
              </w:numPr>
              <w:suppressAutoHyphens/>
            </w:pPr>
            <w:bookmarkStart w:id="13" w:name="_Toc46743509"/>
            <w:bookmarkStart w:id="14" w:name="_Hlk49857604"/>
            <w:bookmarkStart w:id="15" w:name="_Toc54643700"/>
            <w:r>
              <w:t>2</w:t>
            </w:r>
          </w:p>
          <w:p w:rsidR="00330F89" w:rsidRPr="00C807D3" w:rsidRDefault="00330F89" w:rsidP="00C807D3">
            <w:r>
              <w:t>2.</w:t>
            </w:r>
          </w:p>
        </w:tc>
        <w:tc>
          <w:tcPr>
            <w:tcW w:w="2864" w:type="dxa"/>
            <w:shd w:val="clear" w:color="auto" w:fill="auto"/>
          </w:tcPr>
          <w:p w:rsidR="00330F89" w:rsidRDefault="00330F89" w:rsidP="0088171E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Офисно</w:t>
            </w:r>
            <w:proofErr w:type="spellEnd"/>
            <w:r>
              <w:rPr>
                <w:iCs/>
                <w:sz w:val="24"/>
                <w:szCs w:val="24"/>
              </w:rPr>
              <w:t>-производственное здание филиала ПЭС «Лабытнанги»</w:t>
            </w:r>
          </w:p>
        </w:tc>
        <w:tc>
          <w:tcPr>
            <w:tcW w:w="2126" w:type="dxa"/>
            <w:shd w:val="clear" w:color="auto" w:fill="auto"/>
          </w:tcPr>
          <w:p w:rsidR="00330F89" w:rsidRDefault="00330F89" w:rsidP="000554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629400, ЯНАО, г. Лабытнанги, ул. Первомайская 60</w:t>
            </w:r>
          </w:p>
        </w:tc>
        <w:tc>
          <w:tcPr>
            <w:tcW w:w="2126" w:type="dxa"/>
          </w:tcPr>
          <w:p w:rsidR="00330F89" w:rsidRDefault="00330F89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30F89" w:rsidRDefault="00330F89" w:rsidP="004D1AE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Общая площадь здания 779</w:t>
            </w:r>
            <w:r>
              <w:t xml:space="preserve"> </w:t>
            </w:r>
            <w:r w:rsidRPr="00330F89">
              <w:rPr>
                <w:iCs/>
                <w:sz w:val="24"/>
                <w:szCs w:val="24"/>
              </w:rPr>
              <w:t>м</w:t>
            </w:r>
            <w:r w:rsidRPr="00330F89">
              <w:rPr>
                <w:iCs/>
                <w:sz w:val="24"/>
                <w:szCs w:val="24"/>
                <w:vertAlign w:val="superscript"/>
              </w:rPr>
              <w:t>2</w:t>
            </w:r>
            <w:r>
              <w:rPr>
                <w:iCs/>
                <w:sz w:val="24"/>
                <w:szCs w:val="24"/>
              </w:rPr>
              <w:t>/Площадь участка 11064 м</w:t>
            </w:r>
            <w:r w:rsidRPr="005973D2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</w:tr>
    </w:tbl>
    <w:p w:rsidR="00EE7E03" w:rsidRDefault="00514CE2" w:rsidP="00340E03">
      <w:pPr>
        <w:pStyle w:val="4"/>
        <w:widowControl w:val="0"/>
        <w:tabs>
          <w:tab w:val="left" w:pos="426"/>
        </w:tabs>
        <w:spacing w:after="240"/>
        <w:jc w:val="both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6" w:name="_Hlk46492347"/>
      <w:r w:rsidRPr="00C4463B">
        <w:t xml:space="preserve">которая должна быть учтена при подготовке заявки </w:t>
      </w:r>
      <w:bookmarkEnd w:id="16"/>
      <w:r w:rsidRPr="00C4463B">
        <w:t xml:space="preserve">(в том числе перечень ресурсов, услуг и документов, предоставляемых </w:t>
      </w:r>
      <w:r w:rsidR="00241402">
        <w:t>заказчиком</w:t>
      </w:r>
      <w:r w:rsidRPr="00C4463B">
        <w:t xml:space="preserve"> на этапе исполнения договора)</w:t>
      </w:r>
      <w:bookmarkStart w:id="17" w:name="_Hlk48209761"/>
      <w:bookmarkEnd w:id="13"/>
      <w:bookmarkEnd w:id="14"/>
      <w:bookmarkEnd w:id="15"/>
      <w:r w:rsidR="00A834D7">
        <w:t>.</w:t>
      </w:r>
    </w:p>
    <w:p w:rsidR="00A834D7" w:rsidRDefault="00A834D7" w:rsidP="00D12439">
      <w:pPr>
        <w:ind w:firstLine="432"/>
        <w:jc w:val="both"/>
        <w:rPr>
          <w:sz w:val="24"/>
          <w:szCs w:val="24"/>
        </w:rPr>
      </w:pPr>
      <w:r w:rsidRPr="00A834D7">
        <w:rPr>
          <w:sz w:val="24"/>
          <w:szCs w:val="24"/>
        </w:rPr>
        <w:t>На этапе исполнения договора</w:t>
      </w:r>
      <w:r>
        <w:rPr>
          <w:sz w:val="24"/>
          <w:szCs w:val="24"/>
        </w:rPr>
        <w:t xml:space="preserve"> Заказчик </w:t>
      </w:r>
      <w:r w:rsidR="00D12439">
        <w:rPr>
          <w:sz w:val="24"/>
          <w:szCs w:val="24"/>
        </w:rPr>
        <w:t>сообщает</w:t>
      </w:r>
      <w:r w:rsidR="00D12439" w:rsidRPr="00D12439">
        <w:rPr>
          <w:sz w:val="24"/>
          <w:szCs w:val="24"/>
        </w:rPr>
        <w:t xml:space="preserve">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оказанием Услуг</w:t>
      </w:r>
      <w:r w:rsidR="00D12439">
        <w:rPr>
          <w:sz w:val="24"/>
          <w:szCs w:val="24"/>
        </w:rPr>
        <w:t>.</w:t>
      </w:r>
    </w:p>
    <w:p w:rsidR="00D12439" w:rsidRPr="00A834D7" w:rsidRDefault="00C31BEF" w:rsidP="00D12439">
      <w:pPr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Заказчик ознакомит</w:t>
      </w:r>
      <w:r w:rsidR="00D12439" w:rsidRPr="00D12439">
        <w:rPr>
          <w:sz w:val="24"/>
          <w:szCs w:val="24"/>
        </w:rPr>
        <w:t xml:space="preserve"> Исполнител</w:t>
      </w:r>
      <w:r w:rsidR="00D12439">
        <w:rPr>
          <w:sz w:val="24"/>
          <w:szCs w:val="24"/>
        </w:rPr>
        <w:t>я</w:t>
      </w:r>
      <w:r w:rsidR="00D12439" w:rsidRPr="00D12439">
        <w:rPr>
          <w:sz w:val="24"/>
          <w:szCs w:val="24"/>
        </w:rPr>
        <w:t xml:space="preserve"> с локальными нормативными актами</w:t>
      </w:r>
      <w:r w:rsidR="00D12439">
        <w:rPr>
          <w:sz w:val="24"/>
          <w:szCs w:val="24"/>
        </w:rPr>
        <w:t xml:space="preserve"> (инструкциями)</w:t>
      </w:r>
      <w:r w:rsidR="00D12439" w:rsidRPr="00D12439">
        <w:rPr>
          <w:sz w:val="24"/>
          <w:szCs w:val="24"/>
        </w:rPr>
        <w:t xml:space="preserve"> Заказчика, устанавливающими требования по охране труда, пожарной безопасности, правила пропускного и </w:t>
      </w:r>
      <w:proofErr w:type="spellStart"/>
      <w:r w:rsidR="00D12439" w:rsidRPr="00D12439">
        <w:rPr>
          <w:sz w:val="24"/>
          <w:szCs w:val="24"/>
        </w:rPr>
        <w:t>внутриобъектового</w:t>
      </w:r>
      <w:proofErr w:type="spellEnd"/>
      <w:r w:rsidR="00D12439" w:rsidRPr="00D12439">
        <w:rPr>
          <w:sz w:val="24"/>
          <w:szCs w:val="24"/>
        </w:rPr>
        <w:t xml:space="preserve"> режима Заказчика.</w:t>
      </w:r>
    </w:p>
    <w:p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8" w:name="_Toc51339693"/>
      <w:bookmarkStart w:id="19" w:name="_Toc54643702"/>
      <w:bookmarkStart w:id="20" w:name="_Toc50125126"/>
      <w:bookmarkStart w:id="21" w:name="_Toc46743510"/>
      <w:bookmarkEnd w:id="17"/>
      <w:r>
        <w:rPr>
          <w:iCs/>
        </w:rPr>
        <w:lastRenderedPageBreak/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:rsidR="00943CA0" w:rsidRPr="00C4463B" w:rsidRDefault="00C9139A" w:rsidP="00C9139A">
      <w:pPr>
        <w:pStyle w:val="4"/>
      </w:pPr>
      <w:bookmarkStart w:id="22" w:name="_Toc54643703"/>
      <w:r w:rsidRPr="00C4463B">
        <w:t xml:space="preserve">Требования к объемам и срокам </w:t>
      </w:r>
      <w:r w:rsidR="00A12E50">
        <w:t>оказания</w:t>
      </w:r>
      <w:r w:rsidR="00CE753A">
        <w:t xml:space="preserve"> </w:t>
      </w:r>
      <w:r w:rsidR="00A12E50">
        <w:t>услуг</w:t>
      </w:r>
      <w:bookmarkEnd w:id="22"/>
    </w:p>
    <w:p w:rsidR="00C9139A" w:rsidRPr="00C4463B" w:rsidRDefault="00CE753A" w:rsidP="00C9139A">
      <w:pPr>
        <w:pStyle w:val="30"/>
      </w:pPr>
      <w:bookmarkStart w:id="23" w:name="_Toc54643704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23"/>
    </w:p>
    <w:p w:rsidR="004F7743" w:rsidRPr="005B6723" w:rsidRDefault="00DF17ED" w:rsidP="005B672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51339695"/>
      <w:bookmarkStart w:id="25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</w:rPr>
        <w:t>2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4"/>
      <w:r w:rsidR="00E53D99">
        <w:rPr>
          <w:sz w:val="24"/>
          <w:szCs w:val="24"/>
        </w:rPr>
        <w:t xml:space="preserve">и объем </w:t>
      </w:r>
      <w:r w:rsidR="00A12E50">
        <w:rPr>
          <w:sz w:val="24"/>
          <w:szCs w:val="24"/>
        </w:rPr>
        <w:t>оказываемых</w:t>
      </w:r>
      <w:r w:rsidR="00305BB9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услуг</w:t>
      </w:r>
      <w:bookmarkEnd w:id="2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:rsidTr="00D56F7D">
        <w:tc>
          <w:tcPr>
            <w:tcW w:w="850" w:type="dxa"/>
            <w:vAlign w:val="center"/>
          </w:tcPr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213F03" w:rsidRPr="00D57409" w:rsidRDefault="00364CCB" w:rsidP="005859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:rsidTr="00D56F7D">
        <w:tc>
          <w:tcPr>
            <w:tcW w:w="850" w:type="dxa"/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:rsidTr="00D56F7D">
        <w:tc>
          <w:tcPr>
            <w:tcW w:w="850" w:type="dxa"/>
          </w:tcPr>
          <w:p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:rsidR="00E94E89" w:rsidRPr="00D57409" w:rsidRDefault="005B6723" w:rsidP="005B6723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Обеспечение к</w:t>
            </w:r>
            <w:r w:rsidRPr="005B6723">
              <w:rPr>
                <w:i/>
                <w:sz w:val="24"/>
                <w:szCs w:val="24"/>
              </w:rPr>
              <w:t>руглосуточн</w:t>
            </w:r>
            <w:r>
              <w:rPr>
                <w:i/>
                <w:sz w:val="24"/>
                <w:szCs w:val="24"/>
              </w:rPr>
              <w:t>ой</w:t>
            </w:r>
            <w:r w:rsidRPr="005B6723">
              <w:rPr>
                <w:i/>
                <w:sz w:val="24"/>
                <w:szCs w:val="24"/>
              </w:rPr>
              <w:t xml:space="preserve"> физическ</w:t>
            </w:r>
            <w:r>
              <w:rPr>
                <w:i/>
                <w:sz w:val="24"/>
                <w:szCs w:val="24"/>
              </w:rPr>
              <w:t>ой</w:t>
            </w:r>
            <w:r w:rsidRPr="005B6723">
              <w:rPr>
                <w:i/>
                <w:sz w:val="24"/>
                <w:szCs w:val="24"/>
              </w:rPr>
              <w:t xml:space="preserve"> охран</w:t>
            </w:r>
            <w:r>
              <w:rPr>
                <w:i/>
                <w:sz w:val="24"/>
                <w:szCs w:val="24"/>
              </w:rPr>
              <w:t>ы</w:t>
            </w:r>
            <w:r w:rsidRPr="005B6723">
              <w:rPr>
                <w:i/>
                <w:sz w:val="24"/>
                <w:szCs w:val="24"/>
              </w:rPr>
              <w:t xml:space="preserve"> объектов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B6723">
              <w:rPr>
                <w:i/>
                <w:sz w:val="24"/>
                <w:szCs w:val="24"/>
              </w:rPr>
              <w:t>посредством организации круглосуточных контрольно-пропускных постов</w:t>
            </w:r>
            <w:r>
              <w:rPr>
                <w:i/>
                <w:sz w:val="24"/>
                <w:szCs w:val="24"/>
              </w:rPr>
              <w:t xml:space="preserve"> (</w:t>
            </w:r>
            <w:r w:rsidR="00330F89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поста)</w:t>
            </w:r>
          </w:p>
        </w:tc>
        <w:tc>
          <w:tcPr>
            <w:tcW w:w="1985" w:type="dxa"/>
          </w:tcPr>
          <w:p w:rsidR="00E94E89" w:rsidRPr="00D57409" w:rsidRDefault="005B6723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Час.</w:t>
            </w:r>
          </w:p>
        </w:tc>
        <w:tc>
          <w:tcPr>
            <w:tcW w:w="2126" w:type="dxa"/>
          </w:tcPr>
          <w:p w:rsidR="00E94E89" w:rsidRPr="00D57409" w:rsidRDefault="00330F89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78 912</w:t>
            </w:r>
          </w:p>
        </w:tc>
      </w:tr>
    </w:tbl>
    <w:p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26" w:name="_Toc51339696"/>
      <w:bookmarkStart w:id="27" w:name="_Toc54643706"/>
      <w:r w:rsidRPr="00C4463B">
        <w:t xml:space="preserve">Требования </w:t>
      </w:r>
      <w:bookmarkEnd w:id="26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27"/>
    </w:p>
    <w:p w:rsidR="00AE68EA" w:rsidRPr="00671461" w:rsidRDefault="00AE68EA" w:rsidP="0067146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8" w:name="_Toc50125127"/>
      <w:bookmarkStart w:id="29" w:name="_Toc51339697"/>
      <w:bookmarkStart w:id="30" w:name="_Toc54643707"/>
      <w:bookmarkEnd w:id="2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</w:rPr>
        <w:t>3</w:t>
      </w:r>
      <w:r w:rsidRPr="00C4463B">
        <w:rPr>
          <w:sz w:val="24"/>
          <w:szCs w:val="24"/>
        </w:rPr>
        <w:t xml:space="preserve">. </w:t>
      </w:r>
      <w:bookmarkStart w:id="31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</w:rPr>
        <w:t>к</w:t>
      </w:r>
      <w:r w:rsidRPr="00C4463B">
        <w:rPr>
          <w:sz w:val="24"/>
          <w:szCs w:val="24"/>
        </w:rPr>
        <w:t xml:space="preserve"> срокам </w:t>
      </w:r>
      <w:bookmarkEnd w:id="28"/>
      <w:bookmarkEnd w:id="29"/>
      <w:bookmarkEnd w:id="31"/>
      <w:r w:rsidR="00A12E50">
        <w:rPr>
          <w:sz w:val="24"/>
          <w:szCs w:val="24"/>
        </w:rPr>
        <w:t>оказания</w:t>
      </w:r>
      <w:r w:rsidR="00940404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</w:t>
      </w:r>
      <w:bookmarkEnd w:id="30"/>
      <w:r w:rsidR="00671461">
        <w:rPr>
          <w:sz w:val="24"/>
          <w:szCs w:val="24"/>
        </w:rPr>
        <w:t>слуг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2"/>
        <w:gridCol w:w="2551"/>
      </w:tblGrid>
      <w:tr w:rsidR="00940404" w:rsidRPr="00D57409" w:rsidTr="005859E0">
        <w:tc>
          <w:tcPr>
            <w:tcW w:w="1129" w:type="dxa"/>
            <w:shd w:val="clear" w:color="auto" w:fill="auto"/>
            <w:vAlign w:val="center"/>
          </w:tcPr>
          <w:p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0404" w:rsidRPr="00D57409" w:rsidRDefault="00940404" w:rsidP="005859E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940404" w:rsidRPr="00D57409" w:rsidRDefault="00940404" w:rsidP="005859E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551" w:type="dxa"/>
            <w:vAlign w:val="center"/>
          </w:tcPr>
          <w:p w:rsidR="00940404" w:rsidRPr="00D57409" w:rsidRDefault="00940404" w:rsidP="005859E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</w:t>
            </w:r>
          </w:p>
        </w:tc>
      </w:tr>
      <w:tr w:rsidR="00940404" w:rsidRPr="00D57409" w:rsidTr="005859E0">
        <w:tc>
          <w:tcPr>
            <w:tcW w:w="1129" w:type="dxa"/>
            <w:shd w:val="clear" w:color="auto" w:fill="auto"/>
          </w:tcPr>
          <w:p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:rsidTr="005859E0">
        <w:tc>
          <w:tcPr>
            <w:tcW w:w="1129" w:type="dxa"/>
            <w:shd w:val="clear" w:color="auto" w:fill="auto"/>
          </w:tcPr>
          <w:p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:rsidR="00940404" w:rsidRPr="00D57409" w:rsidRDefault="002258F9" w:rsidP="000D33D9">
            <w:pPr>
              <w:rPr>
                <w:sz w:val="24"/>
                <w:szCs w:val="24"/>
              </w:rPr>
            </w:pPr>
            <w:r w:rsidRPr="002258F9">
              <w:rPr>
                <w:i/>
                <w:sz w:val="24"/>
                <w:szCs w:val="24"/>
              </w:rPr>
              <w:t>Обеспечение круглосуточной физической охраны объектов посредством организации круглосуточных контрольно-пропускных постов (2 поста)</w:t>
            </w:r>
          </w:p>
        </w:tc>
        <w:tc>
          <w:tcPr>
            <w:tcW w:w="2552" w:type="dxa"/>
          </w:tcPr>
          <w:p w:rsidR="00940404" w:rsidRPr="00D57409" w:rsidRDefault="00585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330F8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940404" w:rsidRPr="00D57409" w:rsidRDefault="00585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30F89">
              <w:rPr>
                <w:sz w:val="24"/>
                <w:szCs w:val="24"/>
              </w:rPr>
              <w:t>9</w:t>
            </w:r>
          </w:p>
        </w:tc>
      </w:tr>
    </w:tbl>
    <w:p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2" w:name="_Toc50125131"/>
      <w:bookmarkStart w:id="33" w:name="_GoBack"/>
      <w:bookmarkEnd w:id="21"/>
      <w:bookmarkEnd w:id="33"/>
    </w:p>
    <w:p w:rsidR="00241402" w:rsidRPr="00C4463B" w:rsidRDefault="00241402" w:rsidP="00241402">
      <w:pPr>
        <w:pStyle w:val="4"/>
      </w:pPr>
      <w:bookmarkStart w:id="34" w:name="_Toc46743511"/>
      <w:bookmarkStart w:id="35" w:name="_Toc54643708"/>
      <w:bookmarkStart w:id="36" w:name="_Toc51339698"/>
      <w:bookmarkStart w:id="37" w:name="_Toc54643709"/>
      <w:r w:rsidRPr="00C4463B">
        <w:lastRenderedPageBreak/>
        <w:t xml:space="preserve">Требования к </w:t>
      </w:r>
      <w:bookmarkEnd w:id="34"/>
      <w:r w:rsidRPr="00C4463B">
        <w:t xml:space="preserve">качеству </w:t>
      </w:r>
      <w:r>
        <w:t>услуг</w:t>
      </w:r>
      <w:bookmarkEnd w:id="35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2"/>
      <w:bookmarkEnd w:id="36"/>
      <w:r w:rsidR="00516425">
        <w:rPr>
          <w:sz w:val="24"/>
          <w:szCs w:val="24"/>
        </w:rPr>
        <w:t xml:space="preserve">качеству </w:t>
      </w:r>
      <w:r w:rsidR="00A12E50">
        <w:rPr>
          <w:sz w:val="24"/>
          <w:szCs w:val="24"/>
        </w:rPr>
        <w:t>услуг</w:t>
      </w:r>
      <w:bookmarkEnd w:id="37"/>
      <w:r w:rsidRPr="00D16518">
        <w:rPr>
          <w:sz w:val="24"/>
          <w:szCs w:val="24"/>
        </w:rPr>
        <w:t xml:space="preserve"> </w:t>
      </w:r>
    </w:p>
    <w:p w:rsidR="00A76B76" w:rsidRDefault="00AF0C2F" w:rsidP="00A76B76">
      <w:pPr>
        <w:rPr>
          <w:i/>
          <w:sz w:val="24"/>
          <w:szCs w:val="24"/>
        </w:rPr>
      </w:pPr>
      <w:r w:rsidRPr="002258F9">
        <w:rPr>
          <w:i/>
          <w:sz w:val="24"/>
          <w:szCs w:val="24"/>
        </w:rPr>
        <w:t>Обеспечение круглосуточной физической охраны объектов посредством организации круглосуточных контрольно-пропускных постов (2 поста)</w:t>
      </w:r>
    </w:p>
    <w:p w:rsidR="00AF0C2F" w:rsidRPr="00D63F6C" w:rsidRDefault="00AF0C2F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:rsidTr="002E5016">
        <w:tc>
          <w:tcPr>
            <w:tcW w:w="851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:rsidTr="002E5016">
        <w:tc>
          <w:tcPr>
            <w:tcW w:w="851" w:type="dxa"/>
            <w:vMerge/>
            <w:vAlign w:val="center"/>
          </w:tcPr>
          <w:p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:rsidTr="002E5016">
        <w:tc>
          <w:tcPr>
            <w:tcW w:w="851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8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8"/>
          </w:p>
        </w:tc>
        <w:tc>
          <w:tcPr>
            <w:tcW w:w="2268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:rsidTr="002E5016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:rsidTr="002E5016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:rsidTr="002E5016">
        <w:tc>
          <w:tcPr>
            <w:tcW w:w="851" w:type="dxa"/>
            <w:vAlign w:val="center"/>
          </w:tcPr>
          <w:p w:rsidR="00241402" w:rsidRPr="00D57409" w:rsidRDefault="00241402" w:rsidP="0005544E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41402" w:rsidRPr="00D57409" w:rsidRDefault="005E6F1C" w:rsidP="0005544E">
            <w:pPr>
              <w:rPr>
                <w:sz w:val="24"/>
                <w:szCs w:val="24"/>
              </w:rPr>
            </w:pPr>
            <w:r w:rsidRPr="005E6F1C">
              <w:rPr>
                <w:sz w:val="24"/>
                <w:szCs w:val="24"/>
              </w:rPr>
              <w:t xml:space="preserve">Соблюдение при </w:t>
            </w:r>
            <w:r>
              <w:rPr>
                <w:sz w:val="24"/>
                <w:szCs w:val="24"/>
              </w:rPr>
              <w:t>оказании услуг</w:t>
            </w:r>
            <w:r w:rsidR="00145DFA">
              <w:rPr>
                <w:sz w:val="24"/>
                <w:szCs w:val="24"/>
              </w:rPr>
              <w:t xml:space="preserve"> охраны</w:t>
            </w:r>
            <w:r>
              <w:rPr>
                <w:sz w:val="24"/>
                <w:szCs w:val="24"/>
              </w:rPr>
              <w:t xml:space="preserve"> норм и правил нормативных</w:t>
            </w:r>
            <w:r w:rsidRPr="005E6F1C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402" w:type="dxa"/>
            <w:shd w:val="clear" w:color="auto" w:fill="auto"/>
          </w:tcPr>
          <w:p w:rsidR="005E6F1C" w:rsidRPr="005E6F1C" w:rsidRDefault="005E6F1C" w:rsidP="006D3D6F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E6F1C">
              <w:rPr>
                <w:sz w:val="24"/>
                <w:szCs w:val="24"/>
              </w:rPr>
              <w:t xml:space="preserve">Федеральный закон от </w:t>
            </w:r>
            <w:r w:rsidRPr="00503D01">
              <w:rPr>
                <w:sz w:val="24"/>
                <w:szCs w:val="24"/>
              </w:rPr>
              <w:t>21.07.2011 № 256-ФЗ</w:t>
            </w:r>
            <w:r w:rsidRPr="005E6F1C">
              <w:rPr>
                <w:sz w:val="24"/>
                <w:szCs w:val="24"/>
              </w:rPr>
              <w:t xml:space="preserve"> «О безопасности объектов топливно-энергетического комплекса»;</w:t>
            </w:r>
          </w:p>
          <w:p w:rsidR="005E6F1C" w:rsidRDefault="005E6F1C" w:rsidP="006D3D6F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E6F1C">
              <w:rPr>
                <w:sz w:val="24"/>
                <w:szCs w:val="24"/>
              </w:rPr>
              <w:t xml:space="preserve">Федеральный закон от </w:t>
            </w:r>
            <w:r w:rsidRPr="00503D01">
              <w:rPr>
                <w:sz w:val="24"/>
                <w:szCs w:val="24"/>
              </w:rPr>
              <w:t>11.03.1992 № 2487-1</w:t>
            </w:r>
            <w:r w:rsidRPr="005E6F1C">
              <w:rPr>
                <w:sz w:val="24"/>
                <w:szCs w:val="24"/>
              </w:rPr>
              <w:t xml:space="preserve"> «О частной детективной и охранной деятельности в Российской Федерации»;</w:t>
            </w:r>
          </w:p>
          <w:p w:rsidR="00CC07E3" w:rsidRPr="005E6F1C" w:rsidRDefault="00CC07E3" w:rsidP="006D3D6F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CC07E3">
              <w:rPr>
                <w:sz w:val="24"/>
                <w:szCs w:val="24"/>
              </w:rPr>
              <w:t xml:space="preserve">Правительства РФ от </w:t>
            </w:r>
            <w:r w:rsidRPr="00503D01">
              <w:rPr>
                <w:sz w:val="24"/>
                <w:szCs w:val="24"/>
              </w:rPr>
              <w:t>14.08.1992 № 587</w:t>
            </w:r>
            <w:r w:rsidR="00503D01">
              <w:rPr>
                <w:sz w:val="24"/>
                <w:szCs w:val="24"/>
              </w:rPr>
              <w:t xml:space="preserve"> </w:t>
            </w:r>
            <w:r w:rsidR="008C78CC">
              <w:rPr>
                <w:sz w:val="24"/>
                <w:szCs w:val="24"/>
              </w:rPr>
              <w:t>(ред. от 01.11.2022)</w:t>
            </w:r>
            <w:r w:rsidRPr="00CC07E3">
              <w:rPr>
                <w:sz w:val="24"/>
                <w:szCs w:val="24"/>
              </w:rPr>
              <w:t xml:space="preserve"> «Вопросы частной детективной (сыскной) и частной охранной деятельности»</w:t>
            </w:r>
          </w:p>
          <w:p w:rsidR="00640893" w:rsidRDefault="00D41FB0" w:rsidP="006D3D6F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</w:t>
            </w:r>
            <w:r w:rsidR="005E6F1C" w:rsidRPr="005E6F1C">
              <w:rPr>
                <w:sz w:val="24"/>
                <w:szCs w:val="24"/>
              </w:rPr>
              <w:t xml:space="preserve">распорядительные документы </w:t>
            </w:r>
            <w:r w:rsidR="005E6F1C">
              <w:rPr>
                <w:sz w:val="24"/>
                <w:szCs w:val="24"/>
              </w:rPr>
              <w:t xml:space="preserve">ПАО «Передвижная </w:t>
            </w:r>
            <w:r w:rsidR="005E6F1C">
              <w:rPr>
                <w:sz w:val="24"/>
                <w:szCs w:val="24"/>
              </w:rPr>
              <w:lastRenderedPageBreak/>
              <w:t>энергетика» филиал ПЭС «Лабытнанги»</w:t>
            </w:r>
            <w:r w:rsidR="005E6F1C" w:rsidRPr="005E6F1C">
              <w:rPr>
                <w:sz w:val="24"/>
                <w:szCs w:val="24"/>
              </w:rPr>
              <w:t xml:space="preserve"> по обеспечению безопасности и антитеррористической защищенности объект</w:t>
            </w:r>
            <w:r w:rsidR="005E6F1C">
              <w:rPr>
                <w:sz w:val="24"/>
                <w:szCs w:val="24"/>
              </w:rPr>
              <w:t>а</w:t>
            </w:r>
            <w:r w:rsidR="005E6F1C" w:rsidRPr="005E6F1C">
              <w:rPr>
                <w:sz w:val="24"/>
                <w:szCs w:val="24"/>
              </w:rPr>
              <w:t xml:space="preserve">, а также пропускного и </w:t>
            </w:r>
            <w:proofErr w:type="spellStart"/>
            <w:r w:rsidR="005E6F1C" w:rsidRPr="005E6F1C">
              <w:rPr>
                <w:sz w:val="24"/>
                <w:szCs w:val="24"/>
              </w:rPr>
              <w:t>внутриобъектового</w:t>
            </w:r>
            <w:proofErr w:type="spellEnd"/>
            <w:r w:rsidR="005E6F1C" w:rsidRPr="005E6F1C">
              <w:rPr>
                <w:sz w:val="24"/>
                <w:szCs w:val="24"/>
              </w:rPr>
              <w:t xml:space="preserve"> режима</w:t>
            </w:r>
            <w:r w:rsidR="00640893">
              <w:rPr>
                <w:sz w:val="24"/>
                <w:szCs w:val="24"/>
              </w:rPr>
              <w:t>;</w:t>
            </w:r>
          </w:p>
          <w:p w:rsidR="00241402" w:rsidRPr="00D41FB0" w:rsidRDefault="00640893" w:rsidP="006D3D6F">
            <w:pPr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осуществлении охраны (защиты) объектов и (или) имущества.</w:t>
            </w:r>
          </w:p>
        </w:tc>
        <w:tc>
          <w:tcPr>
            <w:tcW w:w="2693" w:type="dxa"/>
            <w:shd w:val="clear" w:color="auto" w:fill="auto"/>
          </w:tcPr>
          <w:p w:rsidR="00241402" w:rsidRPr="00D57409" w:rsidRDefault="005E6F1C" w:rsidP="0005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241402" w:rsidRPr="00D57409" w:rsidRDefault="0005544E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241402" w:rsidRPr="00D57409" w:rsidRDefault="0005544E" w:rsidP="006D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:rsidTr="002E5016">
        <w:tc>
          <w:tcPr>
            <w:tcW w:w="851" w:type="dxa"/>
            <w:vAlign w:val="center"/>
          </w:tcPr>
          <w:p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40893" w:rsidRPr="00D57409" w:rsidRDefault="00640893" w:rsidP="00640893">
            <w:pPr>
              <w:rPr>
                <w:sz w:val="24"/>
                <w:szCs w:val="24"/>
              </w:rPr>
            </w:pPr>
            <w:r w:rsidRPr="00145DFA">
              <w:rPr>
                <w:sz w:val="24"/>
                <w:szCs w:val="24"/>
              </w:rPr>
              <w:t>Требование к способам оказания услуг охраны</w:t>
            </w:r>
          </w:p>
        </w:tc>
        <w:tc>
          <w:tcPr>
            <w:tcW w:w="3402" w:type="dxa"/>
            <w:shd w:val="clear" w:color="auto" w:fill="auto"/>
          </w:tcPr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при обеспечении охраны объекта использовать специальные средства и материально-техническое оснащение: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средство мобильной связи;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средство радио связи переносное;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светодиодный фонарь;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палка резиновая;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наручники;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 xml:space="preserve">- ручной </w:t>
            </w:r>
            <w:proofErr w:type="spellStart"/>
            <w:r w:rsidRPr="00CC07E3">
              <w:rPr>
                <w:sz w:val="24"/>
                <w:szCs w:val="24"/>
              </w:rPr>
              <w:t>металлодетектор</w:t>
            </w:r>
            <w:proofErr w:type="spellEnd"/>
            <w:r w:rsidRPr="00CC07E3">
              <w:rPr>
                <w:sz w:val="24"/>
                <w:szCs w:val="24"/>
              </w:rPr>
              <w:t xml:space="preserve">; 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зеркало для наружного осмотра автотранспорта;</w:t>
            </w:r>
          </w:p>
          <w:p w:rsidR="00640893" w:rsidRPr="00CC07E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>- средства защиты (бронежилет - по согласованию с Заказчиком).</w:t>
            </w:r>
          </w:p>
          <w:p w:rsidR="00640893" w:rsidRPr="00D57409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C07E3">
              <w:rPr>
                <w:sz w:val="24"/>
                <w:szCs w:val="24"/>
              </w:rPr>
              <w:t xml:space="preserve">- средства индивидуальной защиты – маски защитные, перчатки, антисептические средства (за счет </w:t>
            </w:r>
            <w:r w:rsidRPr="00CC07E3">
              <w:rPr>
                <w:sz w:val="24"/>
                <w:szCs w:val="24"/>
              </w:rPr>
              <w:lastRenderedPageBreak/>
              <w:t>Исполнителя) в необходимом количестве, в том числе с учетом норм периодичности замены, утилизации и т.п. (при наличии распоряжений и указаний органов законодательной и исполнительной власти Ямало-Ненецкого автономного округа или по согласованию с Заказчиком)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40893" w:rsidRPr="00D57409" w:rsidRDefault="00640893" w:rsidP="006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640893" w:rsidRPr="006D3D6F" w:rsidRDefault="00640893" w:rsidP="006D3D6F">
            <w:pPr>
              <w:pStyle w:val="afff4"/>
              <w:keepNext w:val="0"/>
              <w:spacing w:before="0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640893" w:rsidRPr="006D3D6F" w:rsidRDefault="00640893" w:rsidP="006D3D6F">
            <w:pPr>
              <w:pStyle w:val="afff4"/>
              <w:keepNext w:val="0"/>
              <w:spacing w:before="0"/>
            </w:pPr>
            <w:r w:rsidRPr="006D3D6F">
              <w:rPr>
                <w:rFonts w:eastAsia="Times New Roman"/>
              </w:rPr>
              <w:t>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CC07E3" w:rsidRDefault="00640893" w:rsidP="0064089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640893" w:rsidRPr="00D57409" w:rsidRDefault="00640893" w:rsidP="00640893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40893" w:rsidRPr="00D57409" w:rsidTr="006D3D6F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 w:rsidRPr="0061283C">
              <w:rPr>
                <w:sz w:val="24"/>
                <w:szCs w:val="24"/>
              </w:rPr>
              <w:t>оказани</w:t>
            </w:r>
            <w:r>
              <w:rPr>
                <w:sz w:val="24"/>
                <w:szCs w:val="24"/>
              </w:rPr>
              <w:t>ю</w:t>
            </w:r>
            <w:r w:rsidRPr="0061283C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охраны</w:t>
            </w:r>
          </w:p>
        </w:tc>
        <w:tc>
          <w:tcPr>
            <w:tcW w:w="3402" w:type="dxa"/>
          </w:tcPr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Охрану осуществлять силами лиц мужского пола в возрасте до 65 лет (допускается охрана лицами женского пола возрастом до 55 лет по согласованию с Заказчиком).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В процессе охраны объектов, обеспечивать:</w:t>
            </w:r>
          </w:p>
          <w:p w:rsidR="0064089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 xml:space="preserve">- пропускной, </w:t>
            </w:r>
            <w:proofErr w:type="spellStart"/>
            <w:r w:rsidRPr="0061283C">
              <w:rPr>
                <w:sz w:val="24"/>
                <w:szCs w:val="24"/>
              </w:rPr>
              <w:t>внутриобъектовый</w:t>
            </w:r>
            <w:proofErr w:type="spellEnd"/>
            <w:r w:rsidRPr="0061283C">
              <w:rPr>
                <w:sz w:val="24"/>
                <w:szCs w:val="24"/>
              </w:rPr>
              <w:t xml:space="preserve"> режимы и сохранность имущества. При охране объектов и имущества, в том числе в отношении которых установлены обязательные для выполнения требования к антитеррористической защищенности, обеспечивать защиту жизни и здоровья персонала Заказчика и его посетителей; 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регулярное патрулирование территории охраняемого </w:t>
            </w:r>
            <w:r>
              <w:rPr>
                <w:sz w:val="24"/>
                <w:szCs w:val="24"/>
              </w:rPr>
              <w:lastRenderedPageBreak/>
              <w:t>объекта (не реже 4 раз в сутки);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 xml:space="preserve">- незамедлительно, по требованию Заказчика, предоставлять информацию, связанную с выполнением обязательств по Договору; 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- в соответствии с законодательством обеспечивать правопорядок на охраняемых объектах;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- обеспечивать оперативное реагирование на угрозы безопасности охраняемым объектам, в том числе персоналу в круглосуточном режиме;</w:t>
            </w:r>
          </w:p>
          <w:p w:rsidR="0064089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- обеспечить круглосуточный прием и регистрацию тревожных извещений, поступающих от оборудования технических средств охраны и охранно-пожарной сигнализации</w:t>
            </w:r>
            <w:r>
              <w:rPr>
                <w:sz w:val="24"/>
                <w:szCs w:val="24"/>
              </w:rPr>
              <w:t>;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досмотр въезжающих и выезжающих транспортных средств </w:t>
            </w:r>
            <w:proofErr w:type="gramStart"/>
            <w:r>
              <w:rPr>
                <w:sz w:val="24"/>
                <w:szCs w:val="24"/>
              </w:rPr>
              <w:t>и  техники</w:t>
            </w:r>
            <w:proofErr w:type="gramEnd"/>
            <w:r>
              <w:rPr>
                <w:sz w:val="24"/>
                <w:szCs w:val="24"/>
              </w:rPr>
              <w:t xml:space="preserve"> с отметкой в журнале.</w:t>
            </w:r>
          </w:p>
          <w:p w:rsidR="0064089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1283C">
              <w:rPr>
                <w:sz w:val="24"/>
                <w:szCs w:val="24"/>
              </w:rPr>
              <w:t>Наличие единообразной форменной одежды (по сезону) со знаками различия, позволяющими идентифицировать охранное предприятие.</w:t>
            </w:r>
          </w:p>
          <w:p w:rsidR="00640893" w:rsidRPr="00EA344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lastRenderedPageBreak/>
              <w:t>На круглосуточных постах охраны, смена сотрудников охраны осуществляется каждые 24 часа. Каждый пост охраны комплектуется из расчета,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графика дежурств, разработанного Исполнителем и согласованного с Заказчиком.</w:t>
            </w:r>
          </w:p>
          <w:p w:rsidR="00640893" w:rsidRPr="00EA344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>При возникшей необходимости (болезнь, личные обстоятельства и т.д.), непосредственно в случае отсутствия сотрудника охраны на посту, либо в случае грубого нарушения им правил несения службы по результатам контроля сотрудниками Исполнителя и/или по заявке Заказчика (письменно, устно), Исполнитель обязан заменить (выставить) сотрудника охраны. Время замены сотрудника охраны не может превышать одного часа (либо в разумные</w:t>
            </w:r>
            <w:r w:rsidRPr="00EA3441">
              <w:rPr>
                <w:sz w:val="20"/>
                <w:szCs w:val="20"/>
                <w:lang w:eastAsia="en-US"/>
              </w:rPr>
              <w:t xml:space="preserve"> </w:t>
            </w:r>
            <w:r w:rsidRPr="00EA3441">
              <w:rPr>
                <w:sz w:val="24"/>
                <w:szCs w:val="24"/>
              </w:rPr>
              <w:t xml:space="preserve">кратчайшие сроки) </w:t>
            </w:r>
            <w:r w:rsidRPr="00EA3441">
              <w:rPr>
                <w:sz w:val="24"/>
                <w:szCs w:val="24"/>
              </w:rPr>
              <w:lastRenderedPageBreak/>
              <w:t>с момента получения заявки от Заказчика или по принятому</w:t>
            </w:r>
            <w:r w:rsidRPr="00EA3441">
              <w:rPr>
                <w:sz w:val="20"/>
                <w:szCs w:val="20"/>
                <w:lang w:eastAsia="en-US"/>
              </w:rPr>
              <w:t xml:space="preserve"> </w:t>
            </w:r>
            <w:r w:rsidRPr="00EA3441">
              <w:rPr>
                <w:sz w:val="24"/>
                <w:szCs w:val="24"/>
              </w:rPr>
              <w:t>решению Исполнителем, с обязательным уведомлением представителя Заказчика о причинах замены сотрудника охраны.</w:t>
            </w:r>
          </w:p>
        </w:tc>
        <w:tc>
          <w:tcPr>
            <w:tcW w:w="2693" w:type="dxa"/>
            <w:shd w:val="clear" w:color="auto" w:fill="auto"/>
          </w:tcPr>
          <w:p w:rsidR="00640893" w:rsidRPr="00D57409" w:rsidRDefault="00640893" w:rsidP="0064089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640893" w:rsidRPr="006D3D6F" w:rsidRDefault="00640893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640893" w:rsidRPr="00D57409" w:rsidRDefault="00640893" w:rsidP="006D3D6F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D3D6F">
              <w:rPr>
                <w:b/>
                <w:sz w:val="24"/>
                <w:szCs w:val="24"/>
              </w:rPr>
              <w:t>-</w:t>
            </w:r>
          </w:p>
        </w:tc>
      </w:tr>
      <w:tr w:rsidR="00640893" w:rsidRPr="00D57409" w:rsidTr="006D3D6F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64089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Перечень служебной документации, находящейся на посту охраны</w:t>
            </w:r>
          </w:p>
        </w:tc>
        <w:tc>
          <w:tcPr>
            <w:tcW w:w="3402" w:type="dxa"/>
          </w:tcPr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>копия договора на оказание охранных услуг;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>копия лицензии на оказание охранных услуг;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 xml:space="preserve">копия </w:t>
            </w:r>
            <w:r>
              <w:rPr>
                <w:sz w:val="24"/>
                <w:szCs w:val="24"/>
              </w:rPr>
              <w:t>Инструкции</w:t>
            </w:r>
            <w:r w:rsidRPr="00CA289D">
              <w:rPr>
                <w:sz w:val="24"/>
                <w:szCs w:val="24"/>
              </w:rPr>
              <w:t xml:space="preserve"> о пропускном и </w:t>
            </w:r>
            <w:proofErr w:type="spellStart"/>
            <w:r w:rsidRPr="00CA289D">
              <w:rPr>
                <w:sz w:val="24"/>
                <w:szCs w:val="24"/>
              </w:rPr>
              <w:t>внутриобъектовом</w:t>
            </w:r>
            <w:proofErr w:type="spellEnd"/>
            <w:r w:rsidRPr="00CA289D">
              <w:rPr>
                <w:sz w:val="24"/>
                <w:szCs w:val="24"/>
              </w:rPr>
              <w:t xml:space="preserve"> режиме (предоставляется Заказчиком);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>должностная инструкция сотрудника охраны;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>график дежурства сотрудников охраны Исполнителя;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</w:t>
            </w:r>
            <w:r w:rsidRPr="00CA289D">
              <w:rPr>
                <w:sz w:val="24"/>
                <w:szCs w:val="24"/>
              </w:rPr>
              <w:tab/>
              <w:t xml:space="preserve"> копии приказов охранного предприятия о назначении должностных лиц, ответственных за организацию и контроль по охране объектов;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 xml:space="preserve">- список должностных лиц Заказчика, Исполнителя, дежурных частей и экстренных служб территориальных органов внутренних дел, ФСБ, МЧС, специальных и аварийных </w:t>
            </w:r>
            <w:r w:rsidRPr="00CA289D">
              <w:rPr>
                <w:sz w:val="24"/>
                <w:szCs w:val="24"/>
              </w:rPr>
              <w:lastRenderedPageBreak/>
              <w:t>служб, имеющих право для принятия решений и мер при возникновении чрезвычайных (аварийных) ситуаций, номера их телефонов;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списки лиц (предоставляются Заказчиком):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работников, имеющих право круглосуточного прохода;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работников, имеющих право проход</w:t>
            </w:r>
            <w:r>
              <w:rPr>
                <w:sz w:val="24"/>
                <w:szCs w:val="24"/>
              </w:rPr>
              <w:t>а в выходные и праздничные дни;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работников сторонних организаций, привлекаемых к выполнению работ в рамках заключенных контрактов (договоров);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образцы служебных удостоверений, пропусков, дающих право прохода, въезда/выезда транспортных средств, ввоза/выноса ТМЦ на охраняемый объект;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журнал приема-сдачи и несения дежурства, содержит: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записи о сдаче-приеме дежурства сотрудниками охраны с указанием наличия и состояния технических средств охраны и имущества по описи, документации поста;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 xml:space="preserve">- записи о возникновении </w:t>
            </w:r>
            <w:r w:rsidRPr="00CA289D">
              <w:rPr>
                <w:sz w:val="24"/>
                <w:szCs w:val="24"/>
              </w:rPr>
              <w:lastRenderedPageBreak/>
              <w:t>аварийных ситуаций, содержащие дату, время, фамилии и инициалы специалистов, вызванных аварийных служб;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записи о возникновении чрезвычайных ситуаций и пропуске пожарных, персонала скорой медицинской помощи, аварийно-спасательных расчетов, а также сотрудников органов безопасности, содержащие дату, время, фамилии и инициалы должностных лиц, государственные номера специальных и служебных автомобилей;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записи о фактах вскрытия помещений сотрудниками охраны;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записи о срабатывания охранной, пожарной сигнализации, докладе оперативному дежурному о событии, в том числе записи о неисправности технических средств охраны;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записи о докладе сотрудником охраны в дежурное подразделение охранной организации об обстановке на посту и охраняемом объекте;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lastRenderedPageBreak/>
              <w:t>- записи о других происшествиях и событиях безопасности на объекте.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журнал учета вноса (выноса), ввоза (вывоза) материальных ценностей и грузов, оформляются, и ведутся в соответствии с локально-нормативными актами Заказчика. Журнал учета содержит записи о передаче в подразделения Заказчика, реализующие задачи по обеспечению безопасности использованных разрешений на внос (вынос), ввоз (вывоз) материальных ценностей и грузов;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журнал въезда/выезда транспортных средств;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журнал контроля за качеством оказываемых услуг;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журнал записи посетителей (учет, бланки разовых пропусков посетителей) оформляются и ведутся в соответствии с локально-нормативными актами Заказчика;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 w:rsidRPr="00CA289D">
              <w:rPr>
                <w:sz w:val="24"/>
                <w:szCs w:val="24"/>
              </w:rPr>
              <w:t xml:space="preserve">журналы, прошиваются, опечатываются и регистрируются Заказчиком. После заполнения журналов, сотрудникам охраны, необходимо сдать указанные </w:t>
            </w:r>
            <w:r w:rsidRPr="00CA289D">
              <w:rPr>
                <w:sz w:val="24"/>
                <w:szCs w:val="24"/>
              </w:rPr>
              <w:lastRenderedPageBreak/>
              <w:t xml:space="preserve">журналы в Заказчику.  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выписки из приказов ЧОО по организации службы на Объекте;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инструкция по действиям сотрудника охраны при угрозе террористического акта на территории Заказчика и в случае его совершения;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инструкция по эксплуатации технических средств охраны;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инструкция по действиям сотрудника охраны при пожаре или других чрезвычайных ситуациях;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инструкция по охране труда;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копия плана-схемы охраны объекта, эвакуации работников и имущества Заказчика при пожаре или других чрезвычайных ситуациях, с указанием маршрутов патрулирования, расположения всех помещений, коридоров, основных и запасных выходов, уязвимых мест охраняемого объекта, размещения средств пожаротушения (Предоставляется Заказчиком);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 xml:space="preserve">- опись технических средств охраны и имущества поста </w:t>
            </w:r>
            <w:r w:rsidRPr="00CA289D">
              <w:rPr>
                <w:sz w:val="24"/>
                <w:szCs w:val="24"/>
              </w:rPr>
              <w:lastRenderedPageBreak/>
              <w:t>охраны;</w:t>
            </w:r>
          </w:p>
          <w:p w:rsidR="00640893" w:rsidRPr="00CA289D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289D">
              <w:rPr>
                <w:sz w:val="24"/>
                <w:szCs w:val="24"/>
              </w:rPr>
              <w:t>- другие документы и справочные материалы, необходимые для выполнения оказываемых услуг.</w:t>
            </w:r>
          </w:p>
          <w:p w:rsidR="00640893" w:rsidRPr="0061283C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  <w:r w:rsidRPr="00CA289D">
              <w:rPr>
                <w:sz w:val="24"/>
                <w:szCs w:val="24"/>
              </w:rPr>
              <w:t>Заказчиком проводится проверка выставленного поста на соответствие настоящим требованиям и требованиям договора по охране объектов Заказчика. По результатам проверки подписывается акт.</w:t>
            </w:r>
          </w:p>
        </w:tc>
        <w:tc>
          <w:tcPr>
            <w:tcW w:w="2693" w:type="dxa"/>
            <w:shd w:val="clear" w:color="auto" w:fill="auto"/>
          </w:tcPr>
          <w:p w:rsidR="00640893" w:rsidRPr="00126540" w:rsidRDefault="00640893" w:rsidP="006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640893" w:rsidRPr="006D3D6F" w:rsidRDefault="00640893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  <w:r w:rsidRPr="00640893">
              <w:rPr>
                <w:rFonts w:eastAsia="Times New Roman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640893" w:rsidRPr="00640893" w:rsidRDefault="00640893" w:rsidP="006D3D6F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40893">
              <w:rPr>
                <w:b/>
                <w:sz w:val="24"/>
                <w:szCs w:val="24"/>
              </w:rPr>
              <w:t>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640893" w:rsidRPr="00D57409" w:rsidRDefault="00640893" w:rsidP="00640893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40893" w:rsidRPr="00D57409" w:rsidTr="006D3D6F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640893" w:rsidRPr="001B6EE8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B6EE8">
              <w:rPr>
                <w:sz w:val="24"/>
                <w:szCs w:val="24"/>
              </w:rPr>
              <w:t>Требования к оснащению</w:t>
            </w:r>
          </w:p>
        </w:tc>
        <w:tc>
          <w:tcPr>
            <w:tcW w:w="3402" w:type="dxa"/>
          </w:tcPr>
          <w:p w:rsidR="00640893" w:rsidRPr="002F797A" w:rsidRDefault="00640893" w:rsidP="006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797A">
              <w:rPr>
                <w:sz w:val="24"/>
                <w:szCs w:val="24"/>
              </w:rPr>
              <w:t xml:space="preserve">Наличие у Исполнителя в штате групп быстрого реагирования (ГБР) по совместному реагированию, дислоцирующихся в населенном пункте, где </w:t>
            </w:r>
            <w:r>
              <w:rPr>
                <w:sz w:val="24"/>
                <w:szCs w:val="24"/>
              </w:rPr>
              <w:t xml:space="preserve">находится охраняемый объект. </w:t>
            </w:r>
            <w:r w:rsidRPr="002F797A">
              <w:rPr>
                <w:sz w:val="24"/>
                <w:szCs w:val="24"/>
              </w:rPr>
              <w:t>При поступлении тревожного сигнала с объекта охраны, с учетом расстояния и времени прибытия, а также технической возможности передачи сигнала «Тревога», обеспечить прибытие ГБР</w:t>
            </w:r>
            <w:r w:rsidRPr="002F797A">
              <w:rPr>
                <w:bCs/>
                <w:sz w:val="24"/>
                <w:szCs w:val="24"/>
              </w:rPr>
              <w:t xml:space="preserve"> в срок не более </w:t>
            </w:r>
            <w:r>
              <w:rPr>
                <w:bCs/>
                <w:sz w:val="24"/>
                <w:szCs w:val="24"/>
              </w:rPr>
              <w:t>1</w:t>
            </w:r>
            <w:r w:rsidRPr="002F797A">
              <w:rPr>
                <w:bCs/>
                <w:sz w:val="24"/>
                <w:szCs w:val="24"/>
              </w:rPr>
              <w:t>0 минут (с учетом обстоятельств в кротчайшее время)</w:t>
            </w:r>
            <w:r w:rsidRPr="002F797A">
              <w:rPr>
                <w:sz w:val="24"/>
                <w:szCs w:val="24"/>
              </w:rPr>
              <w:t xml:space="preserve">, для выяснения обстоятельств поступления сигнала тревоги и принятия необходимых мер </w:t>
            </w:r>
            <w:r w:rsidRPr="002F797A">
              <w:rPr>
                <w:sz w:val="24"/>
                <w:szCs w:val="24"/>
              </w:rPr>
              <w:lastRenderedPageBreak/>
              <w:t>по организации мероприятий, направленных на обеспечение, безопасности объекта, имущества, сотрудников предприятия и охранной организации, в пределах имеющихся полномочий в соответствии с законодательными и нормативными актами.</w:t>
            </w:r>
          </w:p>
          <w:p w:rsidR="00640893" w:rsidRPr="002F797A" w:rsidRDefault="00640893" w:rsidP="00640893">
            <w:pPr>
              <w:rPr>
                <w:sz w:val="24"/>
                <w:szCs w:val="24"/>
              </w:rPr>
            </w:pPr>
            <w:r w:rsidRPr="002F797A">
              <w:rPr>
                <w:sz w:val="24"/>
                <w:szCs w:val="24"/>
              </w:rPr>
              <w:t xml:space="preserve">- Исполнитель для оказания услуг по договору должен обеспечить охрану специальными средствами (палки резиновые, браслеты ручные специальные, бронежилеты (по согласованию), средства мобильной связи, средства радиосвязи переносные, ручные </w:t>
            </w:r>
            <w:proofErr w:type="spellStart"/>
            <w:r w:rsidRPr="002F797A">
              <w:rPr>
                <w:sz w:val="24"/>
                <w:szCs w:val="24"/>
              </w:rPr>
              <w:t>металлодетекторы</w:t>
            </w:r>
            <w:proofErr w:type="spellEnd"/>
            <w:r w:rsidRPr="002F797A">
              <w:rPr>
                <w:sz w:val="24"/>
                <w:szCs w:val="24"/>
              </w:rPr>
              <w:t>, зеркала для наружного осмотра автотранспортных средств, светодиодные фонари, единообразная форменная одежда (по сезону) со знаками различия, позволяющими идентифицировать охранное предприятие);</w:t>
            </w:r>
          </w:p>
          <w:p w:rsidR="00640893" w:rsidRPr="00D57409" w:rsidRDefault="00640893" w:rsidP="00640893">
            <w:pPr>
              <w:rPr>
                <w:sz w:val="24"/>
                <w:szCs w:val="24"/>
              </w:rPr>
            </w:pPr>
            <w:r w:rsidRPr="002F797A">
              <w:rPr>
                <w:sz w:val="24"/>
                <w:szCs w:val="24"/>
              </w:rPr>
              <w:t>- Участник должен иметь</w:t>
            </w:r>
            <w:r w:rsidRPr="002F797A">
              <w:rPr>
                <w:bCs/>
                <w:sz w:val="24"/>
                <w:szCs w:val="24"/>
              </w:rPr>
              <w:t xml:space="preserve"> в собственности дежурную часть или на ином законном основании оборудованное помещение (оперативные дежурные), </w:t>
            </w:r>
            <w:r w:rsidRPr="002F797A">
              <w:rPr>
                <w:sz w:val="24"/>
                <w:szCs w:val="24"/>
              </w:rPr>
              <w:t xml:space="preserve">для поддержания </w:t>
            </w:r>
            <w:r w:rsidRPr="002F797A">
              <w:rPr>
                <w:sz w:val="24"/>
                <w:szCs w:val="24"/>
              </w:rPr>
              <w:lastRenderedPageBreak/>
              <w:t>круглосуточной связи с постами охраны на</w:t>
            </w:r>
            <w:r w:rsidRPr="001B6EE8">
              <w:rPr>
                <w:color w:val="000000"/>
                <w:sz w:val="20"/>
                <w:szCs w:val="20"/>
              </w:rPr>
              <w:t xml:space="preserve"> </w:t>
            </w:r>
            <w:r w:rsidRPr="001B6EE8">
              <w:rPr>
                <w:sz w:val="24"/>
                <w:szCs w:val="24"/>
              </w:rPr>
              <w:t>охраняемых объектах, с целью осуществления мониторинга по контролю за надлежащим оказанием охранных услуг и оперативной обстановкой на объектах охраны.</w:t>
            </w:r>
          </w:p>
        </w:tc>
        <w:tc>
          <w:tcPr>
            <w:tcW w:w="2693" w:type="dxa"/>
            <w:shd w:val="clear" w:color="auto" w:fill="auto"/>
          </w:tcPr>
          <w:p w:rsidR="00640893" w:rsidRPr="001B6EE8" w:rsidRDefault="00640893" w:rsidP="006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:rsidR="00640893" w:rsidRPr="006D3D6F" w:rsidRDefault="00640893" w:rsidP="006D3D6F">
            <w:pPr>
              <w:pStyle w:val="afff4"/>
              <w:keepNext w:val="0"/>
              <w:spacing w:before="0"/>
            </w:pPr>
            <w:r w:rsidRPr="000A530F">
              <w:rPr>
                <w:rFonts w:eastAsia="Times New Roman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:rsidR="00640893" w:rsidRPr="00640893" w:rsidRDefault="00640893" w:rsidP="006D3D6F">
            <w:pPr>
              <w:pStyle w:val="afff4"/>
              <w:keepNext w:val="0"/>
              <w:spacing w:before="0"/>
              <w:rPr>
                <w:b w:val="0"/>
              </w:rPr>
            </w:pPr>
            <w:r w:rsidRPr="00640893">
              <w:rPr>
                <w:rFonts w:eastAsia="Times New Roman"/>
              </w:rPr>
              <w:t>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640893" w:rsidRPr="00D57409" w:rsidRDefault="00640893" w:rsidP="00640893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40893" w:rsidRPr="00D57409" w:rsidTr="006D3D6F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640893" w:rsidRPr="00EA344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>Требования к персоналу</w:t>
            </w:r>
          </w:p>
        </w:tc>
        <w:tc>
          <w:tcPr>
            <w:tcW w:w="3402" w:type="dxa"/>
          </w:tcPr>
          <w:p w:rsidR="00640893" w:rsidRPr="00EA344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 xml:space="preserve">Исполнитель услуг по физической охране (по договору) </w:t>
            </w:r>
            <w:r w:rsidR="00740774">
              <w:rPr>
                <w:sz w:val="24"/>
                <w:szCs w:val="24"/>
              </w:rPr>
              <w:t xml:space="preserve">для обеспечения охраны объекта должен </w:t>
            </w:r>
            <w:r w:rsidRPr="00EA3441">
              <w:rPr>
                <w:sz w:val="24"/>
                <w:szCs w:val="24"/>
              </w:rPr>
              <w:t>иметь</w:t>
            </w:r>
            <w:r w:rsidR="005C06B7">
              <w:rPr>
                <w:sz w:val="24"/>
                <w:szCs w:val="24"/>
              </w:rPr>
              <w:t xml:space="preserve"> в</w:t>
            </w:r>
            <w:r w:rsidRPr="00EA3441">
              <w:rPr>
                <w:sz w:val="24"/>
                <w:szCs w:val="24"/>
              </w:rPr>
              <w:t xml:space="preserve"> штат</w:t>
            </w:r>
            <w:r w:rsidR="005C06B7">
              <w:rPr>
                <w:sz w:val="24"/>
                <w:szCs w:val="24"/>
              </w:rPr>
              <w:t>е</w:t>
            </w:r>
            <w:r w:rsidRPr="00EA3441">
              <w:rPr>
                <w:sz w:val="24"/>
                <w:szCs w:val="24"/>
              </w:rPr>
              <w:t xml:space="preserve">: </w:t>
            </w:r>
          </w:p>
          <w:p w:rsidR="00637CC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 xml:space="preserve">- не </w:t>
            </w:r>
            <w:proofErr w:type="gramStart"/>
            <w:r w:rsidRPr="00EA3441">
              <w:rPr>
                <w:sz w:val="24"/>
                <w:szCs w:val="24"/>
              </w:rPr>
              <w:t xml:space="preserve">менее </w:t>
            </w:r>
            <w:r w:rsidR="005C06B7" w:rsidRPr="005C06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3340">
              <w:rPr>
                <w:sz w:val="24"/>
                <w:szCs w:val="24"/>
              </w:rPr>
              <w:t>4</w:t>
            </w:r>
            <w:proofErr w:type="gramEnd"/>
            <w:r w:rsidR="00740774" w:rsidRPr="00EA3441">
              <w:rPr>
                <w:sz w:val="24"/>
                <w:szCs w:val="24"/>
              </w:rPr>
              <w:t xml:space="preserve"> </w:t>
            </w:r>
            <w:r w:rsidRPr="00EA3441">
              <w:rPr>
                <w:sz w:val="24"/>
                <w:szCs w:val="24"/>
              </w:rPr>
              <w:t>человек</w:t>
            </w:r>
            <w:r w:rsidR="00050FEA" w:rsidRPr="00C50B85">
              <w:rPr>
                <w:sz w:val="24"/>
                <w:szCs w:val="24"/>
              </w:rPr>
              <w:t xml:space="preserve"> </w:t>
            </w:r>
            <w:r w:rsidR="00050FEA">
              <w:rPr>
                <w:sz w:val="24"/>
                <w:szCs w:val="24"/>
              </w:rPr>
              <w:t xml:space="preserve">с квалификацией охранника </w:t>
            </w:r>
            <w:r w:rsidR="00740774">
              <w:rPr>
                <w:sz w:val="24"/>
                <w:szCs w:val="24"/>
              </w:rPr>
              <w:t xml:space="preserve">не ниже </w:t>
            </w:r>
            <w:r w:rsidRPr="00EA3441">
              <w:rPr>
                <w:sz w:val="24"/>
                <w:szCs w:val="24"/>
              </w:rPr>
              <w:t>4 разряда или выше</w:t>
            </w:r>
            <w:r w:rsidR="00740774">
              <w:rPr>
                <w:sz w:val="24"/>
                <w:szCs w:val="24"/>
              </w:rPr>
              <w:t>;</w:t>
            </w:r>
          </w:p>
          <w:p w:rsidR="00640893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 xml:space="preserve">- не менее </w:t>
            </w:r>
            <w:r w:rsidR="00F25777" w:rsidRPr="00B30746">
              <w:rPr>
                <w:sz w:val="24"/>
                <w:szCs w:val="24"/>
              </w:rPr>
              <w:t>2</w:t>
            </w:r>
            <w:r w:rsidR="005C06B7">
              <w:rPr>
                <w:sz w:val="24"/>
                <w:szCs w:val="24"/>
              </w:rPr>
              <w:t xml:space="preserve"> человек с квалификацией </w:t>
            </w:r>
            <w:r w:rsidR="00DC5B96">
              <w:rPr>
                <w:sz w:val="24"/>
                <w:szCs w:val="24"/>
              </w:rPr>
              <w:t xml:space="preserve">охранника </w:t>
            </w:r>
            <w:r w:rsidR="005C06B7">
              <w:rPr>
                <w:sz w:val="24"/>
                <w:szCs w:val="24"/>
              </w:rPr>
              <w:t>6 разряда</w:t>
            </w:r>
            <w:r w:rsidR="005C06B7" w:rsidRPr="00EA3441">
              <w:rPr>
                <w:sz w:val="24"/>
                <w:szCs w:val="24"/>
              </w:rPr>
              <w:t xml:space="preserve"> </w:t>
            </w:r>
          </w:p>
          <w:p w:rsidR="00640893" w:rsidRPr="00EA3441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A3441">
              <w:rPr>
                <w:sz w:val="24"/>
                <w:szCs w:val="24"/>
              </w:rPr>
              <w:t>К выполнению обязанностей по охране объекта н</w:t>
            </w:r>
            <w:r>
              <w:rPr>
                <w:sz w:val="24"/>
                <w:szCs w:val="24"/>
              </w:rPr>
              <w:t>е допускаются охранники-стажеры.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Сотрудники Испо</w:t>
            </w:r>
            <w:r>
              <w:rPr>
                <w:sz w:val="24"/>
                <w:szCs w:val="24"/>
              </w:rPr>
              <w:t xml:space="preserve">лнителя </w:t>
            </w:r>
            <w:r w:rsidRPr="003173DF">
              <w:rPr>
                <w:sz w:val="24"/>
                <w:szCs w:val="24"/>
              </w:rPr>
              <w:t>обязаны: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иметь (в том числе и при несении службы) удостоверение частного охранника, подтверждающего его правовой статус и квалификацию, а также личную карточку частного охранника, предусмотренные </w:t>
            </w:r>
            <w:r w:rsidRPr="003173DF">
              <w:rPr>
                <w:sz w:val="24"/>
                <w:szCs w:val="24"/>
              </w:rPr>
              <w:lastRenderedPageBreak/>
              <w:t>Законом Российской Федерации от 11.03.1992 № 2487-1 «О частной детективной и охранной деятельности в Российской Федерации» (в действующей редакции), и выданные в установленном порядке;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при охране объекта и имущества, принимать необходимые меры по обеспечению пропускного, </w:t>
            </w:r>
            <w:proofErr w:type="spellStart"/>
            <w:r w:rsidRPr="003173DF">
              <w:rPr>
                <w:sz w:val="24"/>
                <w:szCs w:val="24"/>
              </w:rPr>
              <w:t>внутриобъектового</w:t>
            </w:r>
            <w:proofErr w:type="spellEnd"/>
            <w:r w:rsidRPr="003173DF">
              <w:rPr>
                <w:sz w:val="24"/>
                <w:szCs w:val="24"/>
              </w:rPr>
              <w:t xml:space="preserve"> режимов, а также безопасности персонала Заказчика и посетителей в рамках действующего законодательства РФ и других регламентирующих документов;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незамедлительно, по требованию Заказчика, предоставлять информацию, связанную с выполнением обязательств по Договору; 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в соответствии с договором, инструкциями и действующим законодательством, обеспечивать порядок на охраняемом объекте;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обеспечивать оперативное реагирование на угрозы безопасности охраняемому объекту, в том числе персоналу, в круглосуточном </w:t>
            </w:r>
            <w:r w:rsidRPr="003173DF">
              <w:rPr>
                <w:sz w:val="24"/>
                <w:szCs w:val="24"/>
              </w:rPr>
              <w:lastRenderedPageBreak/>
              <w:t>режиме;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обеспечить круглосуточный прием и регистрацию тревожных извещений, поступающих от оборудования технических средств охраны и охранно-пожарной сигнализации;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сотрудники охраны должны, быть обучены, проинструктированы и уметь действовать при возникновении чрезвычайных и нештатных ситуаций на объекте охраны (пожар, попытка проникновение на объект третьих лиц, попытка или хищение имущества, а также его повреждение, обнаружение подозрительных предметов, захват заложников и др.), принимать неотложные меры по локализации чрезвычайной или аварийной ситуации и устранению возможных последствий (в пределах своих возможностей, наличия необходимого инвентаря и оборудования, при этом соблюдая меры личной безопасности), незамедлительно сообщать о данных инцидентах в соответствующие службы, руководству Исполнителя и Заказчику;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lastRenderedPageBreak/>
              <w:t xml:space="preserve">- при оказании услуг по охране объекта, сотрудник охраны должен контролировать (с учетом требований и наличия технических средств) включение сигнализации и прочих технических средств охраны и их работоспособность, принять под охрану все внутренние помещения. При выявлении находящегося в не рабочем состоянии или повреждения инженерно-технических средств охраны: </w:t>
            </w:r>
            <w:r w:rsidR="00ED60F9" w:rsidRPr="006D3D6F">
              <w:rPr>
                <w:sz w:val="24"/>
                <w:szCs w:val="24"/>
              </w:rPr>
              <w:t>видеонаблюдения</w:t>
            </w:r>
            <w:r w:rsidRPr="006D3D6F">
              <w:rPr>
                <w:sz w:val="24"/>
                <w:szCs w:val="24"/>
              </w:rPr>
              <w:t xml:space="preserve">, </w:t>
            </w:r>
            <w:r w:rsidR="00ED60F9" w:rsidRPr="006D3D6F">
              <w:rPr>
                <w:sz w:val="24"/>
                <w:szCs w:val="24"/>
              </w:rPr>
              <w:t>охранной сигнализации</w:t>
            </w:r>
            <w:r w:rsidRPr="006D3D6F">
              <w:rPr>
                <w:sz w:val="24"/>
                <w:szCs w:val="24"/>
              </w:rPr>
              <w:t>,</w:t>
            </w:r>
            <w:r w:rsidRPr="003173DF">
              <w:rPr>
                <w:sz w:val="24"/>
                <w:szCs w:val="24"/>
              </w:rPr>
              <w:t xml:space="preserve"> датчики движения, освещения, запирающих устройств, ограждения и т.д., сообщить руководству Исполнителя и Заказчику;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при оказании услуг по охране объекта обеспечивать выполнение поставленных Заказчиком задач;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находиться в пределах границ постов (объекта);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 xml:space="preserve">- обладать навыками работы с системами пожарной, охранной сигнализации, оповещения, видеонаблюдения (следить за их срабатыванием); </w:t>
            </w:r>
          </w:p>
          <w:p w:rsidR="00640893" w:rsidRPr="003173DF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lastRenderedPageBreak/>
              <w:t>- незамедлительно докладывать представителю Заказчика обо всех происшествиях и выявленных нарушениях, влияющих на безопасность объекта Заказчика, а также при поступлении каких-либо устных, письменных требований, указаний и иных обращений от надзорных и правоохранительных органов, а также органов власти;</w:t>
            </w:r>
          </w:p>
          <w:p w:rsidR="00640893" w:rsidRPr="00CD1FAB" w:rsidRDefault="00640893" w:rsidP="0064089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173DF">
              <w:rPr>
                <w:sz w:val="24"/>
                <w:szCs w:val="24"/>
              </w:rPr>
              <w:t>- сообщать представителю Заказчика о случаях оказания давления на охранника (со стороны сотрудников предприятия на охраняемом объекте, третьих лиц) с целью склонения его к нарушению своих обязанностей.</w:t>
            </w:r>
          </w:p>
        </w:tc>
        <w:tc>
          <w:tcPr>
            <w:tcW w:w="2693" w:type="dxa"/>
            <w:shd w:val="clear" w:color="auto" w:fill="auto"/>
          </w:tcPr>
          <w:p w:rsidR="00640893" w:rsidRDefault="00640893" w:rsidP="006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Default="00377EDA" w:rsidP="00640893">
            <w:pPr>
              <w:rPr>
                <w:sz w:val="24"/>
                <w:szCs w:val="24"/>
              </w:rPr>
            </w:pPr>
          </w:p>
          <w:p w:rsidR="00377EDA" w:rsidRPr="004008E9" w:rsidRDefault="00377EDA" w:rsidP="00B3074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640893" w:rsidRDefault="00640893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  <w:r w:rsidRPr="000A530F">
              <w:rPr>
                <w:rFonts w:eastAsia="Times New Roman"/>
              </w:rPr>
              <w:t>-</w:t>
            </w: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Default="00377EDA" w:rsidP="006D3D6F">
            <w:pPr>
              <w:pStyle w:val="afff4"/>
              <w:keepNext w:val="0"/>
              <w:spacing w:before="0"/>
              <w:rPr>
                <w:rFonts w:eastAsia="Times New Roman"/>
              </w:rPr>
            </w:pPr>
          </w:p>
          <w:p w:rsidR="00377EDA" w:rsidRPr="00B30746" w:rsidRDefault="00377EDA" w:rsidP="00B3074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45" w:type="dxa"/>
            <w:shd w:val="clear" w:color="auto" w:fill="auto"/>
          </w:tcPr>
          <w:p w:rsidR="00640893" w:rsidRPr="00640893" w:rsidRDefault="00640893" w:rsidP="006D3D6F">
            <w:pPr>
              <w:pStyle w:val="afff4"/>
              <w:keepNext w:val="0"/>
              <w:spacing w:before="0"/>
              <w:rPr>
                <w:b w:val="0"/>
              </w:rPr>
            </w:pPr>
            <w:r w:rsidRPr="000A530F">
              <w:rPr>
                <w:rFonts w:eastAsia="Times New Roman"/>
              </w:rPr>
              <w:t>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640893" w:rsidRPr="00D57409" w:rsidRDefault="00640893" w:rsidP="00640893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640893" w:rsidRPr="00D57409" w:rsidRDefault="00640893" w:rsidP="00640893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241402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D60F9" w:rsidRPr="00D57409" w:rsidTr="002E5016">
        <w:tc>
          <w:tcPr>
            <w:tcW w:w="851" w:type="dxa"/>
            <w:vAlign w:val="center"/>
          </w:tcPr>
          <w:p w:rsidR="00ED60F9" w:rsidRPr="00D57409" w:rsidRDefault="00ED60F9" w:rsidP="00ED60F9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ED60F9" w:rsidRPr="00D57409" w:rsidRDefault="00ED60F9" w:rsidP="00ED60F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2" w:type="dxa"/>
          </w:tcPr>
          <w:p w:rsidR="00ED60F9" w:rsidRPr="00E1100B" w:rsidRDefault="00ED60F9" w:rsidP="00ED60F9">
            <w:pPr>
              <w:rPr>
                <w:sz w:val="24"/>
                <w:szCs w:val="24"/>
              </w:rPr>
            </w:pPr>
            <w:r w:rsidRPr="00E1100B">
              <w:rPr>
                <w:iCs/>
                <w:sz w:val="24"/>
                <w:szCs w:val="24"/>
              </w:rPr>
              <w:t xml:space="preserve">Физическая охрана объектов производственной территории электростанции, включающая в себя защиту жизни и здоровья работников и посетителей, охрану имущества и иных материальных ценностей, обеспечение </w:t>
            </w:r>
            <w:proofErr w:type="spellStart"/>
            <w:r w:rsidRPr="00E1100B">
              <w:rPr>
                <w:iCs/>
                <w:sz w:val="24"/>
                <w:szCs w:val="24"/>
              </w:rPr>
              <w:t>внутриобъектового</w:t>
            </w:r>
            <w:proofErr w:type="spellEnd"/>
            <w:r w:rsidRPr="00E1100B">
              <w:rPr>
                <w:iCs/>
                <w:sz w:val="24"/>
                <w:szCs w:val="24"/>
              </w:rPr>
              <w:t xml:space="preserve"> и пропускного режимов в соответствии с ФЗ №2487-1 от </w:t>
            </w:r>
            <w:r w:rsidRPr="00E1100B">
              <w:rPr>
                <w:iCs/>
                <w:sz w:val="24"/>
                <w:szCs w:val="24"/>
              </w:rPr>
              <w:lastRenderedPageBreak/>
              <w:t>11.03.1992г. «О частной детективной и охранной деятельности в Российской Федерации» и Положением о лицензировании частной охранной деятельности, утвержденным Постановлением правительства РФ от 23.06.2011г. №498.</w:t>
            </w:r>
          </w:p>
        </w:tc>
        <w:tc>
          <w:tcPr>
            <w:tcW w:w="2693" w:type="dxa"/>
          </w:tcPr>
          <w:p w:rsidR="00ED60F9" w:rsidRPr="00D57409" w:rsidRDefault="00ED60F9" w:rsidP="00ED60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:rsidR="00ED60F9" w:rsidRPr="00D57409" w:rsidRDefault="00ED60F9" w:rsidP="006D3D6F">
            <w:pPr>
              <w:pStyle w:val="afff4"/>
              <w:keepNext w:val="0"/>
              <w:outlineLvl w:val="2"/>
              <w:rPr>
                <w:rFonts w:eastAsia="Times New Roman"/>
                <w:b w:val="0"/>
              </w:rPr>
            </w:pPr>
            <w:r w:rsidRPr="000A530F">
              <w:rPr>
                <w:rFonts w:eastAsia="Times New Roman"/>
              </w:rPr>
              <w:t>-</w:t>
            </w:r>
          </w:p>
        </w:tc>
        <w:tc>
          <w:tcPr>
            <w:tcW w:w="2745" w:type="dxa"/>
          </w:tcPr>
          <w:p w:rsidR="00ED60F9" w:rsidRPr="00D57409" w:rsidRDefault="00ED60F9" w:rsidP="006D3D6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0A530F">
              <w:rPr>
                <w:b/>
                <w:sz w:val="24"/>
                <w:szCs w:val="24"/>
              </w:rPr>
              <w:t>-</w:t>
            </w:r>
          </w:p>
        </w:tc>
      </w:tr>
      <w:tr w:rsidR="00640893" w:rsidRPr="00D57409" w:rsidTr="002E5016">
        <w:tc>
          <w:tcPr>
            <w:tcW w:w="851" w:type="dxa"/>
            <w:vAlign w:val="center"/>
          </w:tcPr>
          <w:p w:rsidR="00640893" w:rsidRPr="00D57409" w:rsidRDefault="00640893" w:rsidP="00640893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640893" w:rsidRPr="00D57409" w:rsidRDefault="00640893" w:rsidP="00640893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640893" w:rsidRPr="00D57409" w:rsidRDefault="00640893" w:rsidP="00640893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D60F9" w:rsidRPr="00D57409" w:rsidTr="002E5016">
        <w:tc>
          <w:tcPr>
            <w:tcW w:w="851" w:type="dxa"/>
            <w:vAlign w:val="center"/>
          </w:tcPr>
          <w:p w:rsidR="00ED60F9" w:rsidRPr="00D57409" w:rsidRDefault="00ED60F9" w:rsidP="00ED60F9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2268" w:type="dxa"/>
          </w:tcPr>
          <w:p w:rsidR="00ED60F9" w:rsidRPr="00D57409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Нарушения при осуществлении охраны объектов Заказчика.</w:t>
            </w:r>
          </w:p>
        </w:tc>
        <w:tc>
          <w:tcPr>
            <w:tcW w:w="3402" w:type="dxa"/>
          </w:tcPr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К грубым нарушениям правил несения службы сотрудником охраны относятся: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- самовольное оставление </w:t>
            </w:r>
            <w:r w:rsidR="002C1A99">
              <w:rPr>
                <w:sz w:val="24"/>
                <w:szCs w:val="24"/>
              </w:rPr>
              <w:t>поста</w:t>
            </w:r>
            <w:r w:rsidRPr="00776DFA">
              <w:rPr>
                <w:sz w:val="24"/>
                <w:szCs w:val="24"/>
              </w:rPr>
              <w:t xml:space="preserve"> охраны</w:t>
            </w:r>
            <w:r w:rsidR="002C1A99">
              <w:rPr>
                <w:sz w:val="24"/>
                <w:szCs w:val="24"/>
              </w:rPr>
              <w:t xml:space="preserve"> и специальных средств</w:t>
            </w:r>
            <w:r w:rsidRPr="00776DFA">
              <w:rPr>
                <w:sz w:val="24"/>
                <w:szCs w:val="24"/>
              </w:rPr>
              <w:t>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прибытие на рабочее место с опозданием (в соответствии с графиком несения службы на объекте) на срок более 10 (десяти) минут;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несанкционированное вскрытие принятых под охрану помещений, за исключением случаев действий охранника при чрезвычайных обстоятельствах;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- </w:t>
            </w:r>
            <w:r w:rsidR="002C1A99">
              <w:rPr>
                <w:sz w:val="24"/>
                <w:szCs w:val="24"/>
              </w:rPr>
              <w:t>н</w:t>
            </w:r>
            <w:r w:rsidR="002C1A99" w:rsidRPr="0008225F">
              <w:rPr>
                <w:sz w:val="24"/>
                <w:szCs w:val="24"/>
              </w:rPr>
              <w:t xml:space="preserve">ахождение работника Исполнителя, выполняющего обязанности по охране объекта, в состоянии </w:t>
            </w:r>
            <w:r w:rsidR="00F41CA4">
              <w:rPr>
                <w:sz w:val="24"/>
                <w:szCs w:val="24"/>
              </w:rPr>
              <w:t>алкогольного</w:t>
            </w:r>
            <w:r w:rsidR="00F41CA4" w:rsidRPr="0008225F">
              <w:rPr>
                <w:sz w:val="24"/>
                <w:szCs w:val="24"/>
              </w:rPr>
              <w:t xml:space="preserve"> </w:t>
            </w:r>
            <w:r w:rsidR="00F41CA4">
              <w:rPr>
                <w:sz w:val="24"/>
                <w:szCs w:val="24"/>
              </w:rPr>
              <w:t xml:space="preserve">или наркотического </w:t>
            </w:r>
            <w:r w:rsidR="00F41CA4" w:rsidRPr="0008225F">
              <w:rPr>
                <w:sz w:val="24"/>
                <w:szCs w:val="24"/>
              </w:rPr>
              <w:t>опьянения</w:t>
            </w:r>
            <w:r w:rsidR="00F41CA4">
              <w:rPr>
                <w:sz w:val="24"/>
                <w:szCs w:val="24"/>
              </w:rPr>
              <w:t xml:space="preserve"> </w:t>
            </w:r>
            <w:r w:rsidR="00F41CA4" w:rsidRPr="0008225F">
              <w:rPr>
                <w:sz w:val="24"/>
                <w:szCs w:val="24"/>
              </w:rPr>
              <w:lastRenderedPageBreak/>
              <w:t>(</w:t>
            </w:r>
            <w:r w:rsidR="002C1A99" w:rsidRPr="0008225F">
              <w:rPr>
                <w:sz w:val="24"/>
                <w:szCs w:val="24"/>
              </w:rPr>
              <w:t>при наличии акта медицинского освидетельствования)</w:t>
            </w:r>
            <w:r w:rsidR="00F41CA4">
              <w:rPr>
                <w:sz w:val="24"/>
                <w:szCs w:val="24"/>
              </w:rPr>
              <w:t>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не исполнение правил внутреннего распорядка, установленных «</w:t>
            </w:r>
            <w:r>
              <w:rPr>
                <w:sz w:val="24"/>
                <w:szCs w:val="24"/>
              </w:rPr>
              <w:t>Инструкцией</w:t>
            </w:r>
            <w:r w:rsidRPr="00776DFA">
              <w:rPr>
                <w:sz w:val="24"/>
                <w:szCs w:val="24"/>
              </w:rPr>
              <w:t xml:space="preserve"> о </w:t>
            </w:r>
            <w:proofErr w:type="spellStart"/>
            <w:r w:rsidRPr="00776DFA">
              <w:rPr>
                <w:sz w:val="24"/>
                <w:szCs w:val="24"/>
              </w:rPr>
              <w:t>внутриобъектовом</w:t>
            </w:r>
            <w:proofErr w:type="spellEnd"/>
            <w:r w:rsidRPr="00776DFA">
              <w:rPr>
                <w:sz w:val="24"/>
                <w:szCs w:val="24"/>
              </w:rPr>
              <w:t xml:space="preserve"> и пропускном режимах» на объекте охраны;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изменение графика несения службы на объекте, без согласования с Заказчиком услуг;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- отсутствие специальной форменной одежды, в соответствии с требованиями </w:t>
            </w:r>
            <w:r>
              <w:rPr>
                <w:sz w:val="24"/>
                <w:szCs w:val="24"/>
              </w:rPr>
              <w:t>настоящих Технических требований;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отсутствие или неправильное ведение необходимых документов;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отсутствие у сотрудника охраны удостоверения и личной карточки частного охранника, документа, удостоверяющего личность: паспорта или водительского удостоверения;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некорректное или грубое обращение с посетителями и персоналом, находящимися на территории объекта;</w:t>
            </w:r>
          </w:p>
          <w:p w:rsidR="00806EA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сон на пост</w:t>
            </w:r>
            <w:r w:rsidR="00F41CA4">
              <w:rPr>
                <w:sz w:val="24"/>
                <w:szCs w:val="24"/>
              </w:rPr>
              <w:t>у</w:t>
            </w:r>
            <w:r w:rsidRPr="00776DFA">
              <w:rPr>
                <w:sz w:val="24"/>
                <w:szCs w:val="24"/>
              </w:rPr>
              <w:t xml:space="preserve"> охраны;</w:t>
            </w:r>
          </w:p>
          <w:p w:rsidR="00F41CA4" w:rsidRPr="00776DFA" w:rsidRDefault="00806EAA" w:rsidP="00ED6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6DFA">
              <w:rPr>
                <w:sz w:val="24"/>
                <w:szCs w:val="24"/>
              </w:rPr>
              <w:t>курение</w:t>
            </w:r>
            <w:r>
              <w:rPr>
                <w:sz w:val="24"/>
                <w:szCs w:val="24"/>
              </w:rPr>
              <w:t xml:space="preserve"> на посту охраны;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lastRenderedPageBreak/>
              <w:t>- выполнение работ, не связанных со служебными обязанностями;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- прием (в </w:t>
            </w:r>
            <w:proofErr w:type="spellStart"/>
            <w:r w:rsidRPr="00776DFA">
              <w:rPr>
                <w:sz w:val="24"/>
                <w:szCs w:val="24"/>
              </w:rPr>
              <w:t>т.ч</w:t>
            </w:r>
            <w:proofErr w:type="spellEnd"/>
            <w:r w:rsidRPr="00776DFA">
              <w:rPr>
                <w:sz w:val="24"/>
                <w:szCs w:val="24"/>
              </w:rPr>
              <w:t>. на временное хранение) и передача любых предметов от любых лиц (любым лицам), без согласования с представителем Заказчика;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не совершение внутреннего обхода территории по установленному графику;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несоблюдение мер противопожарной безопасности и техники безопасности на охраняемом объекте.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Нарушения при оказании услуг могут быть выявлены: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лично, уполномоченным сотрудником Заказчика при проверке постов;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на основании докладных, служебных записок, рапортов и заявлений работников или посетителей Заказчика, содержащих данные об оказании услуг с нарушением установленных Договором требований;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по информации от уполномоченных должностных лиц правоохранительных и надзорных органов;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lastRenderedPageBreak/>
              <w:t>- из средств массовой информации;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- исполнителем, при проверке оказания услуг его работниками, по охране объектов Заказчика, с обязательным уведомление уполномоченных представителей Заказчика.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О выявленном нарушении, Заказчиком составляется Акт. Копия Акта направляется Исполнителю в установленном </w:t>
            </w:r>
            <w:r>
              <w:rPr>
                <w:sz w:val="24"/>
                <w:szCs w:val="24"/>
              </w:rPr>
              <w:t>Д</w:t>
            </w:r>
            <w:r w:rsidRPr="00776DFA">
              <w:rPr>
                <w:sz w:val="24"/>
                <w:szCs w:val="24"/>
              </w:rPr>
              <w:t xml:space="preserve">оговором порядке. </w:t>
            </w:r>
          </w:p>
          <w:p w:rsidR="00ED60F9" w:rsidRPr="00776DFA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>Услуги, оказан</w:t>
            </w:r>
            <w:r>
              <w:rPr>
                <w:sz w:val="24"/>
                <w:szCs w:val="24"/>
              </w:rPr>
              <w:t>ные с нарушением установленных Д</w:t>
            </w:r>
            <w:r w:rsidRPr="00776DFA">
              <w:rPr>
                <w:sz w:val="24"/>
                <w:szCs w:val="24"/>
              </w:rPr>
              <w:t>оговором требований, могут повлечь применение к Исполнителю штрафных санкций (в соответствии с условиями Договора) или неоплате оказанных услуг.</w:t>
            </w:r>
          </w:p>
          <w:p w:rsidR="00ED60F9" w:rsidRPr="00D57409" w:rsidRDefault="00ED60F9" w:rsidP="00ED60F9">
            <w:pPr>
              <w:rPr>
                <w:sz w:val="24"/>
                <w:szCs w:val="24"/>
              </w:rPr>
            </w:pPr>
            <w:r w:rsidRPr="00776DFA">
              <w:rPr>
                <w:sz w:val="24"/>
                <w:szCs w:val="24"/>
              </w:rPr>
              <w:t xml:space="preserve">В случае выявления Заказчиком неоднократных грубых нарушений при оказании услуг со стороны Исполнителя, Заказчик вправе отказаться от исполнения условий </w:t>
            </w:r>
            <w:r>
              <w:rPr>
                <w:sz w:val="24"/>
                <w:szCs w:val="24"/>
              </w:rPr>
              <w:t>Д</w:t>
            </w:r>
            <w:r w:rsidRPr="00776DFA">
              <w:rPr>
                <w:sz w:val="24"/>
                <w:szCs w:val="24"/>
              </w:rPr>
              <w:t>оговора в одностороннем порядке.</w:t>
            </w:r>
          </w:p>
        </w:tc>
        <w:tc>
          <w:tcPr>
            <w:tcW w:w="2693" w:type="dxa"/>
          </w:tcPr>
          <w:p w:rsidR="00ED60F9" w:rsidRPr="00D85891" w:rsidRDefault="00ED60F9" w:rsidP="00ED60F9">
            <w:pPr>
              <w:rPr>
                <w:bCs/>
                <w:sz w:val="24"/>
                <w:szCs w:val="24"/>
              </w:rPr>
            </w:pPr>
            <w:r w:rsidRPr="00D85891">
              <w:rPr>
                <w:bCs/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926" w:type="dxa"/>
          </w:tcPr>
          <w:p w:rsidR="00ED60F9" w:rsidRPr="00D57409" w:rsidRDefault="00ED60F9" w:rsidP="006D3D6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 w:rsidRPr="000A530F">
              <w:rPr>
                <w:b/>
              </w:rPr>
              <w:t>-</w:t>
            </w:r>
          </w:p>
        </w:tc>
        <w:tc>
          <w:tcPr>
            <w:tcW w:w="2745" w:type="dxa"/>
          </w:tcPr>
          <w:p w:rsidR="00ED60F9" w:rsidRPr="00D57409" w:rsidRDefault="00ED60F9" w:rsidP="006D3D6F">
            <w:pPr>
              <w:pStyle w:val="afff4"/>
              <w:keepNext w:val="0"/>
              <w:outlineLvl w:val="2"/>
              <w:rPr>
                <w:rFonts w:eastAsia="Times New Roman"/>
                <w:b w:val="0"/>
                <w:bCs/>
              </w:rPr>
            </w:pPr>
            <w:r w:rsidRPr="000A530F">
              <w:rPr>
                <w:rFonts w:eastAsia="Times New Roman"/>
              </w:rPr>
              <w:t>-</w:t>
            </w:r>
          </w:p>
        </w:tc>
      </w:tr>
      <w:tr w:rsidR="00ED60F9" w:rsidRPr="00D57409" w:rsidTr="002E5016">
        <w:tc>
          <w:tcPr>
            <w:tcW w:w="851" w:type="dxa"/>
            <w:vAlign w:val="center"/>
          </w:tcPr>
          <w:p w:rsidR="00ED60F9" w:rsidRPr="00D57409" w:rsidRDefault="00ED60F9" w:rsidP="00ED60F9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ED60F9" w:rsidRPr="00D57409" w:rsidRDefault="00ED60F9" w:rsidP="00ED60F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:rsidR="00ED60F9" w:rsidRPr="00D57409" w:rsidRDefault="00ED60F9" w:rsidP="00ED60F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ED60F9" w:rsidRPr="00D57409" w:rsidRDefault="00ED60F9" w:rsidP="00ED60F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ED60F9" w:rsidRPr="00D57409" w:rsidRDefault="00ED60F9" w:rsidP="00ED60F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D60F9" w:rsidRPr="00D57409" w:rsidTr="002E5016">
        <w:tc>
          <w:tcPr>
            <w:tcW w:w="851" w:type="dxa"/>
            <w:vAlign w:val="center"/>
          </w:tcPr>
          <w:p w:rsidR="00ED60F9" w:rsidRPr="00D57409" w:rsidRDefault="00ED60F9" w:rsidP="00ED60F9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2268" w:type="dxa"/>
          </w:tcPr>
          <w:p w:rsidR="00ED60F9" w:rsidRPr="00D57409" w:rsidRDefault="00ED60F9" w:rsidP="00ED6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оказанию услуг лично</w:t>
            </w:r>
          </w:p>
        </w:tc>
        <w:tc>
          <w:tcPr>
            <w:tcW w:w="3402" w:type="dxa"/>
          </w:tcPr>
          <w:p w:rsidR="00ED60F9" w:rsidRPr="00D57409" w:rsidRDefault="00ED60F9" w:rsidP="00ED6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оказанию услуг соисполнителей не допускается</w:t>
            </w:r>
          </w:p>
        </w:tc>
        <w:tc>
          <w:tcPr>
            <w:tcW w:w="2693" w:type="dxa"/>
          </w:tcPr>
          <w:p w:rsidR="00ED60F9" w:rsidRPr="00D57409" w:rsidRDefault="00ED60F9" w:rsidP="00ED6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ED60F9" w:rsidRPr="00D57409" w:rsidRDefault="00ED60F9" w:rsidP="006D3D6F">
            <w:pPr>
              <w:pStyle w:val="afff4"/>
              <w:keepNext w:val="0"/>
              <w:outlineLvl w:val="2"/>
            </w:pPr>
            <w:r w:rsidRPr="000A530F">
              <w:rPr>
                <w:rFonts w:eastAsia="Times New Roman"/>
              </w:rPr>
              <w:t>-</w:t>
            </w:r>
          </w:p>
        </w:tc>
        <w:tc>
          <w:tcPr>
            <w:tcW w:w="2745" w:type="dxa"/>
          </w:tcPr>
          <w:p w:rsidR="00ED60F9" w:rsidRPr="00D57409" w:rsidRDefault="00ED60F9" w:rsidP="006D3D6F">
            <w:pPr>
              <w:pStyle w:val="afff4"/>
              <w:keepNext w:val="0"/>
              <w:outlineLvl w:val="2"/>
            </w:pPr>
            <w:r w:rsidRPr="000A530F">
              <w:rPr>
                <w:rFonts w:eastAsia="Times New Roman"/>
              </w:rPr>
              <w:t>-</w:t>
            </w: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467F4F" w:rsidRDefault="00467F4F" w:rsidP="00467F4F">
      <w:pPr>
        <w:pStyle w:val="1"/>
        <w:keepLines/>
        <w:ind w:left="357" w:hanging="357"/>
        <w:jc w:val="center"/>
      </w:pPr>
      <w:bookmarkStart w:id="39" w:name="_Toc53393312"/>
      <w:bookmarkStart w:id="40" w:name="_Toc53395937"/>
      <w:bookmarkStart w:id="41" w:name="_Toc54643710"/>
      <w:bookmarkStart w:id="42" w:name="_Toc46743519"/>
      <w:bookmarkStart w:id="43" w:name="_Toc51339699"/>
      <w:r>
        <w:lastRenderedPageBreak/>
        <w:t>Требования к документации по ценообразованию</w:t>
      </w:r>
      <w:bookmarkEnd w:id="39"/>
      <w:bookmarkEnd w:id="40"/>
      <w:r w:rsidR="00640C9A">
        <w:t xml:space="preserve"> на этапе закупки</w:t>
      </w:r>
      <w:bookmarkEnd w:id="41"/>
    </w:p>
    <w:p w:rsidR="003B7692" w:rsidRPr="00D61111" w:rsidRDefault="00E41C1A" w:rsidP="00C807D3">
      <w:pPr>
        <w:pStyle w:val="4"/>
        <w:numPr>
          <w:ilvl w:val="1"/>
          <w:numId w:val="34"/>
        </w:numPr>
        <w:ind w:left="1276" w:hanging="567"/>
        <w:jc w:val="both"/>
        <w:rPr>
          <w:i/>
          <w:iCs/>
          <w:shd w:val="clear" w:color="auto" w:fill="FFFF99"/>
        </w:rPr>
      </w:pPr>
      <w:r w:rsidRPr="00E41C1A">
        <w:rPr>
          <w:b w:val="0"/>
          <w:bCs w:val="0"/>
          <w:iCs/>
        </w:rPr>
        <w:t xml:space="preserve">В обоснование стоимости своей заявки Участник предоставляет Коммерческое предложение, а также приложение к нему «Перечень услуг с единичными расценками» </w:t>
      </w:r>
      <w:bookmarkEnd w:id="42"/>
      <w:bookmarkEnd w:id="43"/>
    </w:p>
    <w:sectPr w:rsidR="003B7692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EE" w:rsidRDefault="00EE59EE">
      <w:r>
        <w:separator/>
      </w:r>
    </w:p>
  </w:endnote>
  <w:endnote w:type="continuationSeparator" w:id="0">
    <w:p w:rsidR="00EE59EE" w:rsidRDefault="00EE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Garamond">
    <w:panose1 w:val="020204040303010108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EE" w:rsidRDefault="00EE59EE">
      <w:r>
        <w:separator/>
      </w:r>
    </w:p>
  </w:footnote>
  <w:footnote w:type="continuationSeparator" w:id="0">
    <w:p w:rsidR="00EE59EE" w:rsidRDefault="00EE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AA" w:rsidRDefault="00AD16F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D849AA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AA" w:rsidRDefault="00AD16FF" w:rsidP="00CA1165">
    <w:pPr>
      <w:pStyle w:val="ac"/>
      <w:jc w:val="center"/>
    </w:pPr>
    <w:r>
      <w:fldChar w:fldCharType="begin"/>
    </w:r>
    <w:r w:rsidR="00D849AA">
      <w:instrText>PAGE   \* MERGEFORMAT</w:instrText>
    </w:r>
    <w:r>
      <w:fldChar w:fldCharType="separate"/>
    </w:r>
    <w:r w:rsidR="00C807D3">
      <w:rPr>
        <w:noProof/>
      </w:rPr>
      <w:t>22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7A28CF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47BFA"/>
    <w:multiLevelType w:val="multilevel"/>
    <w:tmpl w:val="D444E8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5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9714A29"/>
    <w:multiLevelType w:val="multilevel"/>
    <w:tmpl w:val="89565036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0" w15:restartNumberingAfterBreak="0">
    <w:nsid w:val="4A0B4C9E"/>
    <w:multiLevelType w:val="multilevel"/>
    <w:tmpl w:val="9F4EF69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0"/>
  </w:num>
  <w:num w:numId="4">
    <w:abstractNumId w:val="16"/>
  </w:num>
  <w:num w:numId="5">
    <w:abstractNumId w:val="18"/>
  </w:num>
  <w:num w:numId="6">
    <w:abstractNumId w:val="5"/>
  </w:num>
  <w:num w:numId="7">
    <w:abstractNumId w:val="24"/>
  </w:num>
  <w:num w:numId="8">
    <w:abstractNumId w:val="29"/>
  </w:num>
  <w:num w:numId="9">
    <w:abstractNumId w:val="17"/>
  </w:num>
  <w:num w:numId="10">
    <w:abstractNumId w:val="26"/>
  </w:num>
  <w:num w:numId="11">
    <w:abstractNumId w:val="33"/>
  </w:num>
  <w:num w:numId="12">
    <w:abstractNumId w:val="31"/>
  </w:num>
  <w:num w:numId="13">
    <w:abstractNumId w:val="28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3"/>
  </w:num>
  <w:num w:numId="21">
    <w:abstractNumId w:val="9"/>
  </w:num>
  <w:num w:numId="22">
    <w:abstractNumId w:val="15"/>
  </w:num>
  <w:num w:numId="23">
    <w:abstractNumId w:val="21"/>
  </w:num>
  <w:num w:numId="24">
    <w:abstractNumId w:val="25"/>
  </w:num>
  <w:num w:numId="25">
    <w:abstractNumId w:val="6"/>
  </w:num>
  <w:num w:numId="26">
    <w:abstractNumId w:val="12"/>
  </w:num>
  <w:num w:numId="27">
    <w:abstractNumId w:val="32"/>
  </w:num>
  <w:num w:numId="28">
    <w:abstractNumId w:val="10"/>
  </w:num>
  <w:num w:numId="29">
    <w:abstractNumId w:val="3"/>
  </w:num>
  <w:num w:numId="30">
    <w:abstractNumId w:val="22"/>
  </w:num>
  <w:num w:numId="31">
    <w:abstractNumId w:val="13"/>
  </w:num>
  <w:num w:numId="32">
    <w:abstractNumId w:val="19"/>
  </w:num>
  <w:num w:numId="33">
    <w:abstractNumId w:val="7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08C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0FEA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44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325D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1D1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40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5DFA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389"/>
    <w:rsid w:val="001A67EA"/>
    <w:rsid w:val="001A685D"/>
    <w:rsid w:val="001A6AAB"/>
    <w:rsid w:val="001A7E2E"/>
    <w:rsid w:val="001B0BDB"/>
    <w:rsid w:val="001B0BDE"/>
    <w:rsid w:val="001B4418"/>
    <w:rsid w:val="001B49D4"/>
    <w:rsid w:val="001B4B33"/>
    <w:rsid w:val="001B4CD9"/>
    <w:rsid w:val="001B4FF0"/>
    <w:rsid w:val="001B6154"/>
    <w:rsid w:val="001B6EE8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772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A8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8F9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49E"/>
    <w:rsid w:val="00254CCA"/>
    <w:rsid w:val="002556DC"/>
    <w:rsid w:val="0025590C"/>
    <w:rsid w:val="00256016"/>
    <w:rsid w:val="002565FF"/>
    <w:rsid w:val="00257C2E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99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2F797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9F2"/>
    <w:rsid w:val="003173DF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F89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699"/>
    <w:rsid w:val="00373476"/>
    <w:rsid w:val="00373494"/>
    <w:rsid w:val="00373F26"/>
    <w:rsid w:val="003741BF"/>
    <w:rsid w:val="00375538"/>
    <w:rsid w:val="00375565"/>
    <w:rsid w:val="00377EDA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87B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63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6686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8E9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2C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851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4C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4DB"/>
    <w:rsid w:val="00450B2C"/>
    <w:rsid w:val="00450C4E"/>
    <w:rsid w:val="00450D3E"/>
    <w:rsid w:val="004519E9"/>
    <w:rsid w:val="00452591"/>
    <w:rsid w:val="0045353B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503A"/>
    <w:rsid w:val="004778A2"/>
    <w:rsid w:val="00480380"/>
    <w:rsid w:val="0048120F"/>
    <w:rsid w:val="0048166C"/>
    <w:rsid w:val="004819DE"/>
    <w:rsid w:val="00483C9B"/>
    <w:rsid w:val="00483D9A"/>
    <w:rsid w:val="00483F3B"/>
    <w:rsid w:val="004851A1"/>
    <w:rsid w:val="00485B07"/>
    <w:rsid w:val="0048642E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B75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7ED"/>
    <w:rsid w:val="004C6A88"/>
    <w:rsid w:val="004C77C5"/>
    <w:rsid w:val="004D0FE1"/>
    <w:rsid w:val="004D15B0"/>
    <w:rsid w:val="004D1AE3"/>
    <w:rsid w:val="004D259B"/>
    <w:rsid w:val="004D2640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D01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25D"/>
    <w:rsid w:val="00583735"/>
    <w:rsid w:val="00583998"/>
    <w:rsid w:val="00584B50"/>
    <w:rsid w:val="00584C0E"/>
    <w:rsid w:val="005859E0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3D2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723"/>
    <w:rsid w:val="005C06B7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1C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83C"/>
    <w:rsid w:val="00612FEA"/>
    <w:rsid w:val="00613123"/>
    <w:rsid w:val="0061354D"/>
    <w:rsid w:val="006136D6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7CC1"/>
    <w:rsid w:val="00640893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B84"/>
    <w:rsid w:val="00671461"/>
    <w:rsid w:val="00671B0C"/>
    <w:rsid w:val="00671CC4"/>
    <w:rsid w:val="0067259D"/>
    <w:rsid w:val="00672B7A"/>
    <w:rsid w:val="006731E8"/>
    <w:rsid w:val="006737CE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F3F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D6F"/>
    <w:rsid w:val="006D5C1C"/>
    <w:rsid w:val="006D5E61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0774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915"/>
    <w:rsid w:val="00773EDF"/>
    <w:rsid w:val="007741D6"/>
    <w:rsid w:val="00774ECA"/>
    <w:rsid w:val="0077538E"/>
    <w:rsid w:val="00775CA4"/>
    <w:rsid w:val="00776DFA"/>
    <w:rsid w:val="00777613"/>
    <w:rsid w:val="00777A06"/>
    <w:rsid w:val="007803CC"/>
    <w:rsid w:val="00780EE0"/>
    <w:rsid w:val="00782B2F"/>
    <w:rsid w:val="00784E3F"/>
    <w:rsid w:val="0078604B"/>
    <w:rsid w:val="00787A2E"/>
    <w:rsid w:val="00787B97"/>
    <w:rsid w:val="00790100"/>
    <w:rsid w:val="00790C0D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172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6EAA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0C21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3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B7D"/>
    <w:rsid w:val="008B1818"/>
    <w:rsid w:val="008B19C7"/>
    <w:rsid w:val="008B1AD1"/>
    <w:rsid w:val="008B1C6E"/>
    <w:rsid w:val="008B1CD5"/>
    <w:rsid w:val="008B2381"/>
    <w:rsid w:val="008B2B93"/>
    <w:rsid w:val="008B2E20"/>
    <w:rsid w:val="008B3340"/>
    <w:rsid w:val="008B36E3"/>
    <w:rsid w:val="008B45A4"/>
    <w:rsid w:val="008B59A0"/>
    <w:rsid w:val="008B65E3"/>
    <w:rsid w:val="008B6F4B"/>
    <w:rsid w:val="008C0123"/>
    <w:rsid w:val="008C0BFE"/>
    <w:rsid w:val="008C10A8"/>
    <w:rsid w:val="008C244D"/>
    <w:rsid w:val="008C2611"/>
    <w:rsid w:val="008C2D8A"/>
    <w:rsid w:val="008C31CE"/>
    <w:rsid w:val="008C339B"/>
    <w:rsid w:val="008C4B79"/>
    <w:rsid w:val="008C57BE"/>
    <w:rsid w:val="008C753D"/>
    <w:rsid w:val="008C78CC"/>
    <w:rsid w:val="008D0C86"/>
    <w:rsid w:val="008D241F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3FB7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6221"/>
    <w:rsid w:val="00A40D39"/>
    <w:rsid w:val="00A410CB"/>
    <w:rsid w:val="00A41E52"/>
    <w:rsid w:val="00A42B0A"/>
    <w:rsid w:val="00A43C79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CA1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4D7"/>
    <w:rsid w:val="00A84BBE"/>
    <w:rsid w:val="00A856C4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CAC"/>
    <w:rsid w:val="00AC1F99"/>
    <w:rsid w:val="00AC1FA3"/>
    <w:rsid w:val="00AC25C7"/>
    <w:rsid w:val="00AC2A91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6FF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6AD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C2F"/>
    <w:rsid w:val="00AF2791"/>
    <w:rsid w:val="00AF357C"/>
    <w:rsid w:val="00AF39F5"/>
    <w:rsid w:val="00AF4362"/>
    <w:rsid w:val="00AF44D1"/>
    <w:rsid w:val="00B007F1"/>
    <w:rsid w:val="00B00A92"/>
    <w:rsid w:val="00B01493"/>
    <w:rsid w:val="00B016D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C65"/>
    <w:rsid w:val="00B25510"/>
    <w:rsid w:val="00B255BF"/>
    <w:rsid w:val="00B27423"/>
    <w:rsid w:val="00B277CA"/>
    <w:rsid w:val="00B27CFC"/>
    <w:rsid w:val="00B30512"/>
    <w:rsid w:val="00B30746"/>
    <w:rsid w:val="00B30D14"/>
    <w:rsid w:val="00B30D6C"/>
    <w:rsid w:val="00B3198F"/>
    <w:rsid w:val="00B31A9E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2E5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929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F89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1BEF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B85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C27"/>
    <w:rsid w:val="00C76AFD"/>
    <w:rsid w:val="00C807D3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9CB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89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7E3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439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211"/>
    <w:rsid w:val="00D36B1F"/>
    <w:rsid w:val="00D4140D"/>
    <w:rsid w:val="00D41523"/>
    <w:rsid w:val="00D417A4"/>
    <w:rsid w:val="00D4185C"/>
    <w:rsid w:val="00D41AF6"/>
    <w:rsid w:val="00D41D1C"/>
    <w:rsid w:val="00D41FB0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785"/>
    <w:rsid w:val="00D849AA"/>
    <w:rsid w:val="00D852D7"/>
    <w:rsid w:val="00D85891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6FD4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40B"/>
    <w:rsid w:val="00DC587F"/>
    <w:rsid w:val="00DC5B96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D45"/>
    <w:rsid w:val="00DD2F42"/>
    <w:rsid w:val="00DD3B56"/>
    <w:rsid w:val="00DD50A2"/>
    <w:rsid w:val="00DD6F4E"/>
    <w:rsid w:val="00DD73C4"/>
    <w:rsid w:val="00DE0780"/>
    <w:rsid w:val="00DE198E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00B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560"/>
    <w:rsid w:val="00E40515"/>
    <w:rsid w:val="00E41A17"/>
    <w:rsid w:val="00E41C1A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051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2DB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441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0F9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0C7"/>
    <w:rsid w:val="00EE44FB"/>
    <w:rsid w:val="00EE56FA"/>
    <w:rsid w:val="00EE59EE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777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1CA4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B8A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B42E88-9595-4FE5-AF7A-5B6F50E8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30">
    <w:name w:val="_Обычный 13+"/>
    <w:basedOn w:val="a3"/>
    <w:qFormat/>
    <w:rsid w:val="00E732DB"/>
    <w:pPr>
      <w:spacing w:line="276" w:lineRule="auto"/>
      <w:ind w:firstLine="851"/>
      <w:contextualSpacing/>
      <w:jc w:val="both"/>
    </w:pPr>
    <w:rPr>
      <w:rFonts w:asciiTheme="minorHAnsi" w:hAnsiTheme="minorHAnsi"/>
      <w:sz w:val="26"/>
      <w:szCs w:val="24"/>
    </w:rPr>
  </w:style>
  <w:style w:type="paragraph" w:customStyle="1" w:styleId="10">
    <w:name w:val="_З1"/>
    <w:next w:val="a3"/>
    <w:qFormat/>
    <w:rsid w:val="00EE40C7"/>
    <w:pPr>
      <w:keepLines/>
      <w:numPr>
        <w:ilvl w:val="1"/>
        <w:numId w:val="32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B42C-C59A-47BE-8843-9540E773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2831</Words>
  <Characters>20377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23162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3</cp:revision>
  <cp:lastPrinted>2023-10-12T08:21:00Z</cp:lastPrinted>
  <dcterms:created xsi:type="dcterms:W3CDTF">2026-05-28T11:02:00Z</dcterms:created>
  <dcterms:modified xsi:type="dcterms:W3CDTF">2026-05-29T04:00:00Z</dcterms:modified>
</cp:coreProperties>
</file>