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FB6" w:rsidRDefault="00521FB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521FB6" w:rsidRDefault="00F8721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Техническое задание</w:t>
      </w:r>
    </w:p>
    <w:p w:rsidR="00521FB6" w:rsidRDefault="00521FB6">
      <w:pPr>
        <w:rPr>
          <w:rFonts w:ascii="Times New Roman" w:hAnsi="Times New Roman"/>
          <w:color w:val="000000" w:themeColor="text1"/>
          <w:sz w:val="24"/>
        </w:rPr>
      </w:pPr>
    </w:p>
    <w:p w:rsidR="00521FB6" w:rsidRDefault="00F8721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Объект закупки: Изготовление малых архитектурных форм с сенсорной интерактивной панелью для удобной пешеходной навигации туристов</w:t>
      </w:r>
    </w:p>
    <w:p w:rsidR="00521FB6" w:rsidRDefault="00521FB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521FB6" w:rsidRDefault="00521FB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tbl>
      <w:tblPr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3"/>
        <w:gridCol w:w="2837"/>
        <w:gridCol w:w="6268"/>
      </w:tblGrid>
      <w:tr w:rsidR="00521FB6"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№ п/п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Параметры требований </w:t>
            </w:r>
          </w:p>
          <w:p w:rsidR="00521FB6" w:rsidRDefault="00521F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Конкретные требования, указываемые Заказчиком</w:t>
            </w:r>
          </w:p>
        </w:tc>
      </w:tr>
      <w:tr w:rsidR="00521FB6"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Сроки поставки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(установки)</w:t>
            </w:r>
          </w:p>
          <w:p w:rsidR="00521FB6" w:rsidRDefault="00521FB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Поставка товара осуществляется по заявкам Заказчика в течение 43 (сорока трех) дней с даты получения заявки, при этом не позднее 22.12.2026. В указанный срок входит установка малых архитектурных форм с сенсорной интерактивной панелью в места э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ксплуатации, настройка, ввод в эксплуатацию. </w:t>
            </w:r>
          </w:p>
        </w:tc>
      </w:tr>
      <w:tr w:rsidR="00521FB6">
        <w:trPr>
          <w:trHeight w:val="308"/>
        </w:trPr>
        <w:tc>
          <w:tcPr>
            <w:tcW w:w="5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Место поставки товара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Товара осуществляется по месту осуществления деятельности поставщика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. Установка готовых изделий осуществляется на территории Ярославской области </w:t>
            </w:r>
            <w:r>
              <w:rPr>
                <w:rFonts w:ascii="Times New Roman" w:hAnsi="Times New Roman"/>
                <w:sz w:val="24"/>
              </w:rPr>
              <w:t>в соответствии с местами у</w:t>
            </w:r>
            <w:r>
              <w:rPr>
                <w:rFonts w:ascii="Times New Roman" w:hAnsi="Times New Roman"/>
                <w:sz w:val="24"/>
              </w:rPr>
              <w:t>становки, предоставленными Заказчиком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521FB6">
        <w:trPr>
          <w:trHeight w:val="308"/>
        </w:trPr>
        <w:tc>
          <w:tcPr>
            <w:tcW w:w="563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Цели приобретения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widowControl w:val="0"/>
              <w:tabs>
                <w:tab w:val="left" w:pos="603"/>
                <w:tab w:val="left" w:pos="10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Предоставление жителям и гостям Ярославской области интерактивного информационного сервиса по расположению объектов культуры и туризма, навигации на местности, получения текстовой и графической </w:t>
            </w:r>
            <w:r>
              <w:rPr>
                <w:rFonts w:ascii="Times New Roman" w:hAnsi="Times New Roman"/>
                <w:sz w:val="24"/>
              </w:rPr>
              <w:t>информации обо всех городах области, а также повышение туристской привлекательности Ярославской области.</w:t>
            </w:r>
          </w:p>
        </w:tc>
      </w:tr>
      <w:tr w:rsidR="00521FB6">
        <w:trPr>
          <w:trHeight w:val="416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Объем и условия оказания услуг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3.1. Поставщик обеспечивает изготовление по индивидуальному заказу малых архитектурных форм и (или) сенсорных интера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ктивных панелей (далее – Товар) в том числе разрабатывает дизайн-проект Товара, устанавливает программное обеспечение (далее – ПО), выполняет наполнение контентом, осуществляет их доставку и установку в соответствии со списком мест, предоставленным Заказчи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ком, и запуск в эксплуатацию.</w:t>
            </w: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Необходимое количество Товара, подлежащего поставке, определить невозможно. Товар поставляется Заказчику исходя из потребности министерства культуры и туризма Ярославской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</w:rPr>
              <w:t>области  (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далее -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Госзаказчик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) в Товаре по заявкам.</w:t>
            </w: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Заявка подается Заказчиком официальным письмом и направляется в адрес поставщика по адресу, указанному в Договоре. Заявка должна содержать пример и (или) описание необходимого к поставке Товара, включая подробное описание его внешнего вида, а также количес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тво необходимого к поставке Товара и место установки, документы, подтверждающие получение всех необходимых разрешений и согласований для выполнения работ по установке Товара, в том числе согласие собственника земельного участка и подтверждение подключения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места установки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МАФа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и/или интерактивной панели к электрическим сетям.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948A54" w:themeColor="background2" w:themeShade="8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В случае отсутствия у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Госзаказчика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каких-либо указанных документов Заказчик вправе направить заявку на изготовления МАФ и (или) сенсорной панели без вложения таких документов, при этом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поставка, настройка и ввод в эксплуатацию Товара может осуществляться по готовности товара по месту его временного нахождения. В этом случае у Поставщика в рамках гарантийных обязательств возникает обязанность по транспортировке и подключению Товара по мес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ту его постоянного использования. Такую обязанность Поставщик должен выполнить не позднее чем через 25 (двадцать пять) дней после предоставления Заказчиком всех необходимых документов.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3.2. Товар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должен функционировать круглогодично</w:t>
            </w:r>
            <w:r>
              <w:rPr>
                <w:rFonts w:ascii="Times New Roman" w:hAnsi="Times New Roman"/>
                <w:sz w:val="24"/>
              </w:rPr>
              <w:t>, в режиме 24/7, в уличн</w:t>
            </w:r>
            <w:r>
              <w:rPr>
                <w:rFonts w:ascii="Times New Roman" w:hAnsi="Times New Roman"/>
                <w:sz w:val="24"/>
              </w:rPr>
              <w:t>ых условиях, в любую погоду.</w:t>
            </w:r>
          </w:p>
          <w:p w:rsidR="00521FB6" w:rsidRDefault="00F8721F">
            <w:pPr>
              <w:spacing w:after="0" w:line="240" w:lineRule="auto"/>
              <w:ind w:firstLine="3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3.3.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Поставщик в течение 4 (четырех) рабочих дней с даты получения от Заказчика заявки на каждый конкретный Товар разрабатывает на основе примера и (или) описания, направленного в составе заявки, дизайн-проект такого Товара и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направляет его на согласование Заказчик</w:t>
            </w:r>
            <w:r>
              <w:rPr>
                <w:color w:val="000000" w:themeColor="text1"/>
                <w:sz w:val="24"/>
              </w:rPr>
              <w:t xml:space="preserve">у. Заказчик согласовывает дизайн-проект в течение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4 (четырех) рабочих дней с даты его получения, либо направляет его Поставщику с указанием необходимых доработок. Поставщик устраняет замечания в течение 1 (одного) раб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очего дня с даты получения.  </w:t>
            </w:r>
            <w:r>
              <w:rPr>
                <w:rFonts w:ascii="Times New Roman" w:hAnsi="Times New Roman"/>
                <w:sz w:val="24"/>
              </w:rPr>
              <w:t>Дизайн-проект в том числе должен содержать вид Товара с разных сторон и общий вид Товара.</w:t>
            </w:r>
          </w:p>
          <w:p w:rsidR="00521FB6" w:rsidRDefault="00F8721F">
            <w:pPr>
              <w:spacing w:after="0" w:line="240" w:lineRule="auto"/>
              <w:ind w:firstLine="3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3.4. Товар должен быть устойчив к несанкционированным действиям: разрушающим механическим воздействиям; доступу к электронным компонентам</w:t>
            </w:r>
            <w:r>
              <w:rPr>
                <w:rFonts w:ascii="Times New Roman" w:hAnsi="Times New Roman"/>
                <w:sz w:val="24"/>
              </w:rPr>
              <w:t xml:space="preserve"> Товара и к программному обеспечению.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3.5. Товар должен быть обеспечен круглосуточным видеонаблюдением в виде установки камер с обеих сторон Товара для предотвращения вандализма.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3.6. Программное обеспечение (далее - ПО), установленное Поставщиком в соотве</w:t>
            </w:r>
            <w:r>
              <w:rPr>
                <w:rFonts w:ascii="Times New Roman" w:hAnsi="Times New Roman"/>
                <w:sz w:val="24"/>
              </w:rPr>
              <w:t xml:space="preserve">тствии с настоящим ТЗ: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позволит пользователю взаимодействовать с сенсорной интерактивной панелью;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позволит централизованно управлять всеми сенсорными интерактивными панелями, в </w:t>
            </w:r>
            <w:proofErr w:type="spellStart"/>
            <w:r>
              <w:rPr>
                <w:rFonts w:ascii="Times New Roman" w:hAnsi="Times New Roman"/>
                <w:sz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</w:rPr>
              <w:t>. управлять контентом на сенсорной интерактивной панели удаленно;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3.7. </w:t>
            </w:r>
            <w:r>
              <w:rPr>
                <w:rFonts w:ascii="Times New Roman" w:hAnsi="Times New Roman"/>
                <w:sz w:val="24"/>
              </w:rPr>
              <w:t xml:space="preserve">Поставщик должен наполнить </w:t>
            </w:r>
            <w:proofErr w:type="gramStart"/>
            <w:r>
              <w:rPr>
                <w:rFonts w:ascii="Times New Roman" w:hAnsi="Times New Roman"/>
                <w:sz w:val="24"/>
              </w:rPr>
              <w:t>ПО контентом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соответствии с предоставленной Заказчиком информацией.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3.8. Общение пользователей с ПО должно осуществляться посредством дружественного интерактивного интерфейса ПО и сенсорной интерактивной панели.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3.9. Поставщик </w:t>
            </w:r>
            <w:r>
              <w:rPr>
                <w:rFonts w:ascii="Times New Roman" w:hAnsi="Times New Roman"/>
                <w:sz w:val="24"/>
              </w:rPr>
              <w:t xml:space="preserve">должен провести обучение специалистов Заказчика и </w:t>
            </w:r>
            <w:proofErr w:type="spellStart"/>
            <w:r>
              <w:rPr>
                <w:rFonts w:ascii="Times New Roman" w:hAnsi="Times New Roman"/>
                <w:sz w:val="24"/>
              </w:rPr>
              <w:t>Госзаказчика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администрированию ПО и изменению контента, а также предоставить инструкции пользователя и инструкции администратора.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3.10. Заказчик обеспечивает для поставщика получение всех необходимых раз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решений и согласований для выполнения работ по установке Товара, в том числе согласие собственника земельного участка и подключение места установки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МАФа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и/или интерактивной панели к электрическим сетям. </w:t>
            </w:r>
          </w:p>
          <w:p w:rsidR="00521FB6" w:rsidRDefault="00F8721F">
            <w:pPr>
              <w:spacing w:after="0" w:line="240" w:lineRule="auto"/>
              <w:ind w:firstLine="348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3.11. Поставщик из числа своих сотрудников назначает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ответственного координатора и уведомляет об этом Заказчика письмом с предоставлением контактных данных. </w:t>
            </w:r>
          </w:p>
          <w:p w:rsidR="00521FB6" w:rsidRDefault="00F8721F">
            <w:pPr>
              <w:spacing w:after="0" w:line="240" w:lineRule="auto"/>
              <w:ind w:firstLine="283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Обязанн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ости координатора:</w:t>
            </w:r>
          </w:p>
          <w:p w:rsidR="00521FB6" w:rsidRDefault="00F8721F">
            <w:pPr>
              <w:spacing w:after="0" w:line="240" w:lineRule="auto"/>
              <w:ind w:firstLine="284"/>
              <w:contextualSpacing/>
              <w:jc w:val="both"/>
              <w:rPr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осуществлять взаимодействие с Заказчиком на протяжении всего периода работ по исполнению Договора;</w:t>
            </w:r>
          </w:p>
          <w:p w:rsidR="00521FB6" w:rsidRDefault="00F8721F">
            <w:pPr>
              <w:spacing w:after="0" w:line="240" w:lineRule="auto"/>
              <w:ind w:firstLine="284"/>
              <w:contextualSpacing/>
              <w:jc w:val="both"/>
              <w:rPr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еженедельно предостав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лять Заказчику информацию об объемах выполненных работ с их стоимостью (нарастающим итогом);</w:t>
            </w:r>
          </w:p>
          <w:p w:rsidR="00521FB6" w:rsidRDefault="00F8721F">
            <w:pPr>
              <w:spacing w:after="0" w:line="240" w:lineRule="auto"/>
              <w:ind w:firstLine="284"/>
              <w:contextualSpacing/>
              <w:jc w:val="both"/>
              <w:rPr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контролировать соблюдение согласованного Заказчиком списка мест по установке Товара;</w:t>
            </w:r>
          </w:p>
          <w:p w:rsidR="00521FB6" w:rsidRDefault="00F8721F">
            <w:pPr>
              <w:spacing w:after="0" w:line="240" w:lineRule="auto"/>
              <w:ind w:firstLine="284"/>
              <w:contextualSpacing/>
              <w:jc w:val="both"/>
              <w:rPr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контролировать соответствие Товара разработанному и согласованному дизайн-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проекту.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3.12. </w:t>
            </w:r>
            <w:r>
              <w:rPr>
                <w:rFonts w:ascii="Times New Roman" w:hAnsi="Times New Roman"/>
                <w:spacing w:val="-1"/>
                <w:sz w:val="24"/>
              </w:rPr>
              <w:t>Поставщик обязан без дополнительной платы и за свой счет выполнить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все необходимые пусконаладочные работы с оформлением необходимых актов, протоколов, ведомостей, заключений и т.п. в том числе по требованию Заказчика в период исполнения гарантийных обязательств.</w:t>
            </w:r>
          </w:p>
        </w:tc>
      </w:tr>
      <w:tr w:rsidR="00521FB6">
        <w:trPr>
          <w:trHeight w:val="699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4. 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Требования к изготовлению товаров и работам по их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установке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4.1. </w:t>
            </w:r>
            <w:r>
              <w:rPr>
                <w:rFonts w:ascii="Times New Roman" w:hAnsi="Times New Roman"/>
                <w:sz w:val="24"/>
              </w:rPr>
              <w:t>Качество изделий и работ по их установке должно соответствовать нормативным правовым актам РФ, строительным и санитарным нормам и правилам, техническим регламентам, а также государственным стандартам, относящимся к выполнению видов работ, пр</w:t>
            </w:r>
            <w:r>
              <w:rPr>
                <w:rFonts w:ascii="Times New Roman" w:hAnsi="Times New Roman"/>
                <w:sz w:val="24"/>
              </w:rPr>
              <w:t xml:space="preserve">едусмотренных Техническим заданием. </w:t>
            </w:r>
          </w:p>
          <w:p w:rsidR="00521FB6" w:rsidRDefault="00521FB6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</w:p>
          <w:p w:rsidR="00521FB6" w:rsidRDefault="00F872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 оборудование, применяемое Поставщиком при выполнении работ, должно быть новым.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4.2. Поставщик обязан восстановить за счет собственных средств в срок не позднее 3 (трех) календарных дней с момента повреждения элемен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ты инфраструктуры (инженерные коммуникации, ограждения, бордюры, столбы освещения и т.д.), поврежденные в результате выполнения собственных работ по установке Товара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а также восстановить дорожное покрытие и провести благоустройство поврежденной при устано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вке Товара территории.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4.3. Работы на высоте должны выполняться с соблюдением требований СП 49.13330.2010 и СНиП 12-03-2001, приказа Министерства труда и социальной защиты РФ от 16 ноября 2020 года № 782н «Об утверждении Правил по охране труда при работе н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а высоте».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Рабочие должны быть ознакомлены с правилами техники безопасности, проинструктированы об огнеопасности применяемых материалов и мерах пожарной безопасности при работе с ними, обеспечены средствами индивидуальной защиты по ГОСТ 12.4.011-89 (защит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ной одеждой, обувью, средствами индивидуальной защиты рук, головы, глаз, органов дыхания, при работе на высоте - защитными поясами).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При производстве работ обеспечить ведение общих и специальных журналов работ.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При производстве работ обеспечить ведение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исполнительной документации. Поставщик оформляет акты освидетельствования скрытых работ, предоставляет паспорта и сертификаты на примененные материалы.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Все работы должны соответствовать требованиям качества, безопасности жизни и здоровья, а также иным треб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ованиям сертификации, безопасности (санитарным нормам и правилам, государственным стандартам и т. п.), лицензирования, установленным действующим законодательством Российской Федерации.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Работы, требующие наличие лицензий, осуществляются только при наличии с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оответствующих документов. По запросу Заказчика Поставщик обязан представить копию лицензии или выписку из реестра лицензий, в соответствии с типовой формой, утвержденной постановлением Правительством РФ от 29.12.2020 № 2343 «Об утверждении Правил формиров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ания и ведения реестра лицензий и типовой формы выписки из реестра лицензий», или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документ, содержащий сведения, обеспечивающие возможность подтверждения наличия у поставщика специального разрешения на право осуществления конкретного вида деятельности (лиц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ензии), в том числе ее статуса (действующая, не приостановлена, не приостановлена частично, не прекращена) до начала производства соответствующих работ.</w:t>
            </w:r>
          </w:p>
        </w:tc>
      </w:tr>
      <w:tr w:rsidR="00521FB6">
        <w:trPr>
          <w:trHeight w:val="699"/>
        </w:trPr>
        <w:tc>
          <w:tcPr>
            <w:tcW w:w="563" w:type="dxa"/>
            <w:tcBorders>
              <w:top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5. </w:t>
            </w:r>
          </w:p>
        </w:tc>
        <w:tc>
          <w:tcPr>
            <w:tcW w:w="2837" w:type="dxa"/>
            <w:tcBorders>
              <w:top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Требование к Товару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5.1.  В Товаре должна быть предусмотрена общая подсветка конструкции.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5.2. В</w:t>
            </w:r>
            <w:r>
              <w:rPr>
                <w:rFonts w:ascii="Times New Roman" w:hAnsi="Times New Roman"/>
                <w:sz w:val="24"/>
              </w:rPr>
              <w:t xml:space="preserve"> рамках Договора Поставщик осуществляет: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разработку дизайн-проекта, создание 3-мерной модели и визуализации, выполненных с помощью программ компьютерной графики (3D визуализации), отражающих цветовое решение и содержание;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согласование макета Товара, к</w:t>
            </w:r>
            <w:r>
              <w:rPr>
                <w:rFonts w:ascii="Times New Roman" w:hAnsi="Times New Roman"/>
                <w:sz w:val="24"/>
              </w:rPr>
              <w:t>орректировку по замечаниям и предложениям заказчика. Заказчик имеет право запросить дополнительные   3-х мерные модели;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изготовление МАФ в масштабе, авторскую доработку согласование с Заказчиком.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изготовление Товара;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поставку, строительно-монтажные </w:t>
            </w:r>
            <w:r>
              <w:rPr>
                <w:rFonts w:ascii="Times New Roman" w:hAnsi="Times New Roman"/>
                <w:sz w:val="24"/>
              </w:rPr>
              <w:t>работы, включая бетонное основание, пусконаладочные работы Товара. Размеры бетонных оснований определяются Поставщиком в соответствии с размерами, весом и нагрузкой Товара на бетонное основание;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поставку, строительно-монтажные работы, пусконаладочные раб</w:t>
            </w:r>
            <w:r>
              <w:rPr>
                <w:rFonts w:ascii="Times New Roman" w:hAnsi="Times New Roman"/>
                <w:sz w:val="24"/>
              </w:rPr>
              <w:t>оты беспроводной технологической сети контроля работоспособности и управления аппаратным комплексом Товара;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5.3. Товар должен быть изготовлен в соответствии с требованиями действующих на территории РФ законодательных актов, норм и правил экологических, </w:t>
            </w:r>
            <w:r>
              <w:rPr>
                <w:rFonts w:ascii="Times New Roman" w:hAnsi="Times New Roman"/>
                <w:sz w:val="24"/>
              </w:rPr>
              <w:t>санитарно-гигиенических, противопожарных и др. и обеспечивать безопасность для жизни и здоровья людей.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5.4. Функциональные, технические и качественные характеристики поставляемого товара указаны в приложении №1 к Техническому заданию.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Общие требования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состав сенсорной интерактивной панели входит источник бесперебойного питания </w:t>
            </w:r>
            <w:r>
              <w:rPr>
                <w:rFonts w:ascii="Times New Roman" w:hAnsi="Times New Roman"/>
                <w:sz w:val="24"/>
              </w:rPr>
              <w:t>двойного преобразования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, позволяющих штатно завершить работу необходимых приложений в случае аварийного отключения основного питания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Программное обеспечение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7.1. Поставщик устанавливает ПО на все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сенсорные интерактивные панели</w:t>
            </w:r>
            <w:r>
              <w:rPr>
                <w:rFonts w:ascii="Times New Roman" w:hAnsi="Times New Roman"/>
                <w:sz w:val="24"/>
              </w:rPr>
              <w:t xml:space="preserve">. Необходимые лицензии (права на использование ПО) должны быть в наличии и переданы </w:t>
            </w:r>
            <w:proofErr w:type="spellStart"/>
            <w:r>
              <w:rPr>
                <w:rFonts w:ascii="Times New Roman" w:hAnsi="Times New Roman"/>
                <w:sz w:val="24"/>
              </w:rPr>
              <w:t>Госзаказчику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одновременно с документами о приемке. Программное обеспечение должно иметь возможность пре</w:t>
            </w:r>
            <w:r>
              <w:rPr>
                <w:rFonts w:ascii="Times New Roman" w:hAnsi="Times New Roman"/>
                <w:sz w:val="24"/>
              </w:rPr>
              <w:t xml:space="preserve">доставлять пользователю информацию о городе и области, ориентируя его как по историческим, так и современным аспектам его культуры и развлечений. Всю размещаемую в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сенсорной интерактивной панели</w:t>
            </w:r>
            <w:r>
              <w:rPr>
                <w:rFonts w:ascii="Times New Roman" w:hAnsi="Times New Roman"/>
                <w:sz w:val="24"/>
              </w:rPr>
              <w:t xml:space="preserve"> информацию собирает и предоставляет Поставщику Заказчик.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</w:t>
            </w:r>
            <w:r>
              <w:rPr>
                <w:rFonts w:ascii="Times New Roman" w:hAnsi="Times New Roman"/>
                <w:sz w:val="24"/>
              </w:rPr>
              <w:t>раммное обеспечение должно иметь следующие возможности: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Навигация по исторической части города: включать в себя использование интерактивной карты города стороннего производителя, которая обеспечивает пользователю способ ориентироваться и перемещаться по </w:t>
            </w:r>
            <w:r>
              <w:rPr>
                <w:rFonts w:ascii="Times New Roman" w:hAnsi="Times New Roman"/>
                <w:sz w:val="24"/>
              </w:rPr>
              <w:t>историческим местам. Основные функциональные возможности этой интерактивной карты должны иметь возможность: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Отображение достопримечательностей: на карте должны отображаться исторически значимые места и достопримечательности города. Таблица объектов пред</w:t>
            </w:r>
            <w:r>
              <w:rPr>
                <w:rFonts w:ascii="Times New Roman" w:hAnsi="Times New Roman"/>
                <w:sz w:val="24"/>
              </w:rPr>
              <w:t>оставляется Заказчиком в электронном виде.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Интерактивное взаимодействие: Пользователь сможет взаимодействовать с картой, нажимая на объекты или достопримечательности прямо на карте.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 xml:space="preserve">Построение маршрутов: после выбора объекта пользователем, например, </w:t>
            </w:r>
            <w:r>
              <w:rPr>
                <w:rFonts w:ascii="Times New Roman" w:hAnsi="Times New Roman"/>
                <w:sz w:val="24"/>
              </w:rPr>
              <w:t>исторического здания или музея, система автоматически построит маршрут до выбранного места с учетом текущего местоположения пользователя.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d.</w:t>
            </w:r>
            <w:r>
              <w:rPr>
                <w:rFonts w:ascii="Times New Roman" w:hAnsi="Times New Roman"/>
                <w:sz w:val="24"/>
              </w:rPr>
              <w:tab/>
              <w:t>Визуализация маршрута: Пользователю будет отображаться визуальное представление маршрута на карте, позволяющее легк</w:t>
            </w:r>
            <w:r>
              <w:rPr>
                <w:rFonts w:ascii="Times New Roman" w:hAnsi="Times New Roman"/>
                <w:sz w:val="24"/>
              </w:rPr>
              <w:t>о понять, каким образом добраться до выбранной точки интереса.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Описание достопримечательностей и знаковых мест: будет обеспечивать пользователя информацией о каждой достопримечательности города, представляя ее с описанием истории, архитектуры и значимост</w:t>
            </w:r>
            <w:r>
              <w:rPr>
                <w:rFonts w:ascii="Times New Roman" w:hAnsi="Times New Roman"/>
                <w:sz w:val="24"/>
              </w:rPr>
              <w:t>и для города. Основные характеристики этого блока включают: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 xml:space="preserve">База данных достопримечательностей: для хранения информации о достопримечательностях будет использоваться специальная база данных, в которой каждая достопримечательность представлена отдельной </w:t>
            </w:r>
            <w:r>
              <w:rPr>
                <w:rFonts w:ascii="Times New Roman" w:hAnsi="Times New Roman"/>
                <w:sz w:val="24"/>
              </w:rPr>
              <w:t>записью.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Подробное описание: Каждая достопримечательность будет сопровождаться описанием, включающим исторические факты, особенности архитектуры, культурное и историческое значение объекта.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>Фотографии и изображения: к описанию будет прилагаться галер</w:t>
            </w:r>
            <w:r>
              <w:rPr>
                <w:rFonts w:ascii="Times New Roman" w:hAnsi="Times New Roman"/>
                <w:sz w:val="24"/>
              </w:rPr>
              <w:t>ея фотографий и изображений, позволяющая пользователю получить визуальное представление о достопримечательности.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d.</w:t>
            </w:r>
            <w:r>
              <w:rPr>
                <w:rFonts w:ascii="Times New Roman" w:hAnsi="Times New Roman"/>
                <w:sz w:val="24"/>
              </w:rPr>
              <w:tab/>
              <w:t>Интерактивные элементы: Возможность взаимодействия с объектами на странице описания, такие как кнопки для просмотра фотографий в полном разм</w:t>
            </w:r>
            <w:r>
              <w:rPr>
                <w:rFonts w:ascii="Times New Roman" w:hAnsi="Times New Roman"/>
                <w:sz w:val="24"/>
              </w:rPr>
              <w:t>ере или запуска видеороликов о месте.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Информация о муниципальных районах с исторической справкой: будет предоставлять пользователю информацию о различных муниципальных районах с учетом их исторического контекста, что поможет лучше понять культурное и соц</w:t>
            </w:r>
            <w:r>
              <w:rPr>
                <w:rFonts w:ascii="Times New Roman" w:hAnsi="Times New Roman"/>
                <w:sz w:val="24"/>
              </w:rPr>
              <w:t>иальное разнообразие. Ключевые характеристики этого блока: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 xml:space="preserve">Исторические сведения: Каждый муниципальный район будет описываться с учетом его исторического развития, включая информацию о зарождении, становлении и ключевых исторических событиях, которые </w:t>
            </w:r>
            <w:r>
              <w:rPr>
                <w:rFonts w:ascii="Times New Roman" w:hAnsi="Times New Roman"/>
                <w:sz w:val="24"/>
              </w:rPr>
              <w:t>оказали влияние на его формирование.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Культурное наследие: Пользователь получит информацию о культурных особенностях каждого муниципального района, таких как традиции, обычаи, национальные и этнические особенности, а также о наследии культурных сообществ</w:t>
            </w:r>
            <w:r>
              <w:rPr>
                <w:rFonts w:ascii="Times New Roman" w:hAnsi="Times New Roman"/>
                <w:sz w:val="24"/>
              </w:rPr>
              <w:t>, проживающих в данном муниципальном районе.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>Архитектурные особенности: Описание будет включать архитектурные особенности муниципального района, исторические здания, памятники архитектуры и другие объекты, которые характеризуют его визуальный облик и ат</w:t>
            </w:r>
            <w:r>
              <w:rPr>
                <w:rFonts w:ascii="Times New Roman" w:hAnsi="Times New Roman"/>
                <w:sz w:val="24"/>
              </w:rPr>
              <w:t>мосферу.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e.</w:t>
            </w:r>
            <w:r>
              <w:rPr>
                <w:rFonts w:ascii="Times New Roman" w:hAnsi="Times New Roman"/>
                <w:sz w:val="24"/>
              </w:rPr>
              <w:tab/>
              <w:t>Районы: Пользовательский интерфейс позволит пользователю просматривать информацию о различных муниципальных районах.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f.</w:t>
            </w:r>
            <w:r>
              <w:rPr>
                <w:rFonts w:ascii="Times New Roman" w:hAnsi="Times New Roman"/>
                <w:sz w:val="24"/>
              </w:rPr>
              <w:tab/>
              <w:t>Фотографии и видеоматериалы: для более наглядного представления каждого муниципального района будут предоставляться фотограф</w:t>
            </w:r>
            <w:r>
              <w:rPr>
                <w:rFonts w:ascii="Times New Roman" w:hAnsi="Times New Roman"/>
                <w:sz w:val="24"/>
              </w:rPr>
              <w:t>ии и видеоматериалы, позволяющие пользователю окунуться в атмосферу места.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Предложение популярных туристических маршрутов: пользователю будет предоставляться возможность просмотра маршрутов, проходящих через ключевые достопримечательности и интересные ме</w:t>
            </w:r>
            <w:r>
              <w:rPr>
                <w:rFonts w:ascii="Times New Roman" w:hAnsi="Times New Roman"/>
                <w:sz w:val="24"/>
              </w:rPr>
              <w:t>ста, что поможет оптимизировать время и максимально использовать поездку. Ключевые характеристики этого блока: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Выбор маршрута: Пользователь сможет выбрать один из предложенных туристических маршрутов, посмотрев интересующие его достопримечательности и п</w:t>
            </w:r>
            <w:r>
              <w:rPr>
                <w:rFonts w:ascii="Times New Roman" w:hAnsi="Times New Roman"/>
                <w:sz w:val="24"/>
              </w:rPr>
              <w:t>редпочтения.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Интерактивная карта: Пользователь получит визуальное представление о маршруте на интерактивной карте, где отображаются все точки маршрута и связи между ними.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 xml:space="preserve">Подробная информация: Каждая точка маршрута будет сопровождаться информацией о </w:t>
            </w:r>
            <w:r>
              <w:rPr>
                <w:rFonts w:ascii="Times New Roman" w:hAnsi="Times New Roman"/>
                <w:sz w:val="24"/>
              </w:rPr>
              <w:t>достопримечательности, включая описание, фотографии, рабочие часы и стоимость билетов.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Популярные культурные места: пользователю будет предоставлена информация о театрах, музеях, парках и других культурных учреждениях, включая информацию о предстоящих ме</w:t>
            </w:r>
            <w:r>
              <w:rPr>
                <w:rFonts w:ascii="Times New Roman" w:hAnsi="Times New Roman"/>
                <w:sz w:val="24"/>
              </w:rPr>
              <w:t>роприятиях, расписании работы. Основные характеристики этого блока: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База данных культурных мест: для хранения информации о культурных учреждениях будет использоваться специализированная база данных, содержащая детальную информацию о каждом месте.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Подробные описания: Каждое культурное место будет сопровождаться описанием, включающим информацию о его истории, коллекциях (для музеев), репертуаре (для театров), особенностях (для парков) и т.д.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>Информация о мероприятиях: Пользователь получит информац</w:t>
            </w:r>
            <w:r>
              <w:rPr>
                <w:rFonts w:ascii="Times New Roman" w:hAnsi="Times New Roman"/>
                <w:sz w:val="24"/>
              </w:rPr>
              <w:t>ию о предстоящих мероприятиях, таких как выставки, спектакли, концерты, фестивали и другие культурные события, проходящие в этих учреждениях.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d.</w:t>
            </w:r>
            <w:r>
              <w:rPr>
                <w:rFonts w:ascii="Times New Roman" w:hAnsi="Times New Roman"/>
                <w:sz w:val="24"/>
              </w:rPr>
              <w:tab/>
              <w:t>Расписание работы: для каждого культурного места будет указываться расписание работы, включая часы открытия и з</w:t>
            </w:r>
            <w:r>
              <w:rPr>
                <w:rFonts w:ascii="Times New Roman" w:hAnsi="Times New Roman"/>
                <w:sz w:val="24"/>
              </w:rPr>
              <w:t>акрытия, а также дни, когда учреждение не работает.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Рекомендации для ярких впечатлений: пользователю будет предоставляться информация о различных способах проведения времени, интересных мероприятиях, культурных достопримечательностях, а также предлагает </w:t>
            </w:r>
            <w:r>
              <w:rPr>
                <w:rFonts w:ascii="Times New Roman" w:hAnsi="Times New Roman"/>
                <w:sz w:val="24"/>
              </w:rPr>
              <w:t xml:space="preserve">рекомендации по выбору кафе, ресторанов и отелей. Ключевые характеристики этого блока: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Пользователь получит рекомендации о различных активностях, таких как экскурсии, спортивные мероприятия, развлекательные парки и многое другое, чтобы заполнить свобод</w:t>
            </w:r>
            <w:r>
              <w:rPr>
                <w:rFonts w:ascii="Times New Roman" w:hAnsi="Times New Roman"/>
                <w:sz w:val="24"/>
              </w:rPr>
              <w:t>ное время и получить незабываемые впечатления.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Афиша ближайших событий: Блок будет предоставлять информацию о ближайших культурных событиях, концертах, выставках, фестивалях, театральных постановках и других интересных мероприятиях, которые проходят в г</w:t>
            </w:r>
            <w:r>
              <w:rPr>
                <w:rFonts w:ascii="Times New Roman" w:hAnsi="Times New Roman"/>
                <w:sz w:val="24"/>
              </w:rPr>
              <w:t>ороде.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>Живописные места: Пользователь сможет получить рекомендации о городах и живописных местах в окрестностях, которые стоит посетить для отдыха или путешествия.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d.</w:t>
            </w:r>
            <w:r>
              <w:rPr>
                <w:rFonts w:ascii="Times New Roman" w:hAnsi="Times New Roman"/>
                <w:sz w:val="24"/>
              </w:rPr>
              <w:tab/>
              <w:t xml:space="preserve">Кафе, аутентичные рестораны: Блок будет предоставлять информацию о кафе, ресторанах и </w:t>
            </w:r>
            <w:r>
              <w:rPr>
                <w:rFonts w:ascii="Times New Roman" w:hAnsi="Times New Roman"/>
                <w:sz w:val="24"/>
              </w:rPr>
              <w:t>барах в городе, где можно попробовать местную кухню, аутентичные блюда или мировую кулинарию.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e.</w:t>
            </w:r>
            <w:r>
              <w:rPr>
                <w:rFonts w:ascii="Times New Roman" w:hAnsi="Times New Roman"/>
                <w:sz w:val="24"/>
              </w:rPr>
              <w:tab/>
              <w:t>Информация об отелях: Пользователь получит информацию по отелям или гостиницам, находящимся в городе.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Чем гордится регион: пользователю предоставляется инфор</w:t>
            </w:r>
            <w:r>
              <w:rPr>
                <w:rFonts w:ascii="Times New Roman" w:hAnsi="Times New Roman"/>
                <w:sz w:val="24"/>
              </w:rPr>
              <w:t>мация о гордости региона и достижениях правительства, помогая лучше понять культурный и экономический контекст города и его окрестностей. Ключевые характеристики этого блока: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История и культурное наследие: Пользователь узнает о значимых исторических соб</w:t>
            </w:r>
            <w:r>
              <w:rPr>
                <w:rFonts w:ascii="Times New Roman" w:hAnsi="Times New Roman"/>
                <w:sz w:val="24"/>
              </w:rPr>
              <w:t>ытиях, культурном наследии и традициях региона, которыми его жители гордятся и которые формируют его уникальную идентичность.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>Социокультурные и спортивные события: Пользователь сможет узнать о проводимых в регионе социокультурных мероприятиях, фестиваля</w:t>
            </w:r>
            <w:r>
              <w:rPr>
                <w:rFonts w:ascii="Times New Roman" w:hAnsi="Times New Roman"/>
                <w:sz w:val="24"/>
              </w:rPr>
              <w:t>х, концертах, выставках, спортивных соревнованиях и других событиях, которые приносят гордость и радость жителям.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c.</w:t>
            </w:r>
            <w:r>
              <w:rPr>
                <w:rFonts w:ascii="Times New Roman" w:hAnsi="Times New Roman"/>
                <w:sz w:val="24"/>
              </w:rPr>
              <w:tab/>
              <w:t>Экологические и природные достопримечательности: Блок будет предоставлять информацию о природных богатствах и экологических проектах регион</w:t>
            </w:r>
            <w:r>
              <w:rPr>
                <w:rFonts w:ascii="Times New Roman" w:hAnsi="Times New Roman"/>
                <w:sz w:val="24"/>
              </w:rPr>
              <w:t>а, направленных на сохранение окружающей среды и развитие экотуризма.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Гиперказуальные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игры для привлечения туристов (дизайн и механика игры согласуется Заказчиком по предложению Поставщика):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ab/>
              <w:t>Бегущий мишка. Слева направо по горизонтальной поверхности б</w:t>
            </w:r>
            <w:r>
              <w:rPr>
                <w:rFonts w:ascii="Times New Roman" w:hAnsi="Times New Roman"/>
                <w:sz w:val="24"/>
              </w:rPr>
              <w:t>ежит медведь, схожий с гербом Ярославской области. Ему по пути попадаются бонусы и препятствия. Перепрыгнуть через препятствия можно нажав на экран. Необходимо набрать максимальное количество баллов.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z w:val="24"/>
              </w:rPr>
              <w:tab/>
              <w:t xml:space="preserve">Летящий Мишка. Слева направо на летательном аппарате </w:t>
            </w:r>
            <w:r>
              <w:rPr>
                <w:rFonts w:ascii="Times New Roman" w:hAnsi="Times New Roman"/>
                <w:sz w:val="24"/>
              </w:rPr>
              <w:t>летит медведь, схожий с гербом Ярославской области. Аппарат притягивается к земле, но по нажатию на экране срабатывает двигатель, установленный в нижней части летательного аппарата. На пути медведя встречаются бонусы и препятствия. Необходимо набрать макси</w:t>
            </w:r>
            <w:r>
              <w:rPr>
                <w:rFonts w:ascii="Times New Roman" w:hAnsi="Times New Roman"/>
                <w:sz w:val="24"/>
              </w:rPr>
              <w:t>мальное количество баллов.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7.2. В правом верхнем углу экрана должен быть размещен логотип национального проекта «Туризм и индустрия гостеприимства», в соответствии с правилами использования логотипа «Туризм и индустрия гостеприимства». Правила передаются </w:t>
            </w:r>
            <w:r>
              <w:rPr>
                <w:rFonts w:ascii="Times New Roman" w:hAnsi="Times New Roman"/>
                <w:sz w:val="24"/>
              </w:rPr>
              <w:t>Поставщику Заказчиком в течение 3 (трех) дней с даты заключения Договора.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7.3. Вся необходимая информация, указанная в пункте 7.1, передается </w:t>
            </w:r>
            <w:proofErr w:type="spellStart"/>
            <w:r>
              <w:rPr>
                <w:rFonts w:ascii="Times New Roman" w:hAnsi="Times New Roman"/>
                <w:sz w:val="24"/>
              </w:rPr>
              <w:t>Госзаказчиком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течение 5 рабочих дней с даты запроса со стороны Заказчика или Поставщика.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возможности польз</w:t>
            </w:r>
            <w:r>
              <w:rPr>
                <w:rFonts w:ascii="Times New Roman" w:hAnsi="Times New Roman"/>
                <w:sz w:val="24"/>
              </w:rPr>
              <w:t>овательского интерфейса программного обеспечения указаны в Приложении №2 к Техническому заданию.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Техническое обслуживание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8.1. Техническое обслуживание осуществляется в течение 3-х лет с даты подписания документа о приемке Товара по письменной заявке З</w:t>
            </w:r>
            <w:r>
              <w:rPr>
                <w:rFonts w:ascii="Times New Roman" w:hAnsi="Times New Roman"/>
                <w:sz w:val="24"/>
              </w:rPr>
              <w:t>аказчика на предоставленную электронную почту Поставщика или заявке по контактному номеру телефона Поставщика.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 на заявку Заказчика со стороны Поставщика должен быть получен Заказчиком на электронную почту не позднее, чем через один рабочий день с мом</w:t>
            </w:r>
            <w:r>
              <w:rPr>
                <w:rFonts w:ascii="Times New Roman" w:hAnsi="Times New Roman"/>
                <w:sz w:val="24"/>
              </w:rPr>
              <w:t>ента поступления заявки.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8.2. Поставщик должен произвести необходимое обслуживание в срок не более четырех рабочих дней с момента поступления заявки от Заказчика для выявления причин неисправностей, а также при необходимости технического и/или сервисного о</w:t>
            </w:r>
            <w:r>
              <w:rPr>
                <w:rFonts w:ascii="Times New Roman" w:hAnsi="Times New Roman"/>
                <w:sz w:val="24"/>
              </w:rPr>
              <w:t>бслуживания оборудования.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8.3. Поставщик должен обеспечить консультирование в рабочее время специалистов Заказчика и </w:t>
            </w:r>
            <w:proofErr w:type="spellStart"/>
            <w:r>
              <w:rPr>
                <w:rFonts w:ascii="Times New Roman" w:hAnsi="Times New Roman"/>
                <w:sz w:val="24"/>
              </w:rPr>
              <w:t>Госзаказчика</w:t>
            </w:r>
            <w:proofErr w:type="spellEnd"/>
            <w:r>
              <w:rPr>
                <w:rFonts w:ascii="Times New Roman" w:hAnsi="Times New Roman"/>
                <w:sz w:val="24"/>
              </w:rPr>
              <w:t>, которые будут вести обновление контента сенсорных интерактивных панелей. При возникновении проблем при обновлении контента сп</w:t>
            </w:r>
            <w:r>
              <w:rPr>
                <w:rFonts w:ascii="Times New Roman" w:hAnsi="Times New Roman"/>
                <w:sz w:val="24"/>
              </w:rPr>
              <w:t>ециалисты Поставщика должны оказать помощь в течение двух рабочих дней с момента поступления заявки от Заказчика.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случае выявления неисправностей при проведении технического обслуживания Поставщик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должен доставить запасные части для </w:t>
            </w:r>
            <w:r>
              <w:rPr>
                <w:rFonts w:ascii="Times New Roman" w:hAnsi="Times New Roman"/>
                <w:sz w:val="24"/>
              </w:rPr>
              <w:t>ремонта Товара и прои</w:t>
            </w:r>
            <w:r>
              <w:rPr>
                <w:rFonts w:ascii="Times New Roman" w:hAnsi="Times New Roman"/>
                <w:sz w:val="24"/>
              </w:rPr>
              <w:t xml:space="preserve">звести необходимый ремонт в течение не более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двадцати рабочих дней.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целях выполнения Поставщиком обязательств по техническому обслуживанию, включая гарантийное, </w:t>
            </w:r>
            <w:proofErr w:type="spellStart"/>
            <w:r>
              <w:rPr>
                <w:rFonts w:ascii="Times New Roman" w:hAnsi="Times New Roman"/>
                <w:sz w:val="24"/>
              </w:rPr>
              <w:t>Госзаказчик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обязан предоставить Исполнителю Поставщику, удаленный доступ к вычислительным мощ</w:t>
            </w:r>
            <w:r>
              <w:rPr>
                <w:rFonts w:ascii="Times New Roman" w:hAnsi="Times New Roman"/>
                <w:sz w:val="24"/>
              </w:rPr>
              <w:t xml:space="preserve">ностям, на которых расположено программное обеспечение для централизованного управления интерактивными панелями и доступ в сеть, к которой подключены интерактивные панели. Доступ Поставщик осуществляет по защищенному каналу связи с использованием ПАК </w:t>
            </w:r>
            <w:proofErr w:type="spellStart"/>
            <w:r>
              <w:rPr>
                <w:rFonts w:ascii="Times New Roman" w:hAnsi="Times New Roman"/>
                <w:sz w:val="24"/>
              </w:rPr>
              <w:t>Vipne</w:t>
            </w:r>
            <w:r>
              <w:rPr>
                <w:rFonts w:ascii="Times New Roman" w:hAnsi="Times New Roman"/>
                <w:sz w:val="24"/>
              </w:rPr>
              <w:t>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Client</w:t>
            </w:r>
            <w:proofErr w:type="spellEnd"/>
            <w:r>
              <w:rPr>
                <w:rFonts w:ascii="Times New Roman" w:hAnsi="Times New Roman"/>
                <w:sz w:val="24"/>
              </w:rPr>
              <w:t>. В случае отсутствия у Поставщика лицензии на данную программу Поставщик приобретает ее за свой счет.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Общие условия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9.1. Поставщик </w:t>
            </w:r>
            <w:r>
              <w:rPr>
                <w:rFonts w:ascii="Times New Roman" w:hAnsi="Times New Roman"/>
                <w:sz w:val="24"/>
              </w:rPr>
              <w:t>предоставляет комплект отчетных документов по окончанию установки и запуска в эксплуатацию Товара. Результаты вы</w:t>
            </w:r>
            <w:r>
              <w:rPr>
                <w:rFonts w:ascii="Times New Roman" w:hAnsi="Times New Roman"/>
                <w:sz w:val="24"/>
              </w:rPr>
              <w:t>полненных работ должны быть зафиксированы в протоколах проведения приемочных испытаний, актах. Фиксируется каждый этап выполненной работы. Все протоколы, акты должны быть подписаны Заказчиком по результатам приема Товара.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  <w:shd w:val="clear" w:color="auto" w:fill="F8D957"/>
              </w:rPr>
            </w:pPr>
            <w:r>
              <w:rPr>
                <w:rFonts w:ascii="Times New Roman" w:hAnsi="Times New Roman"/>
                <w:sz w:val="24"/>
              </w:rPr>
              <w:t xml:space="preserve">9.2. Заказчик вправе потребовать </w:t>
            </w:r>
            <w:r>
              <w:rPr>
                <w:rFonts w:ascii="Times New Roman" w:hAnsi="Times New Roman"/>
                <w:sz w:val="24"/>
              </w:rPr>
              <w:t>поставки контрольного образца сенсорной панели для оценки его аппаратного соответствия требованиям условий Договора. В случае направления Заказчиком в адрес Поставщика заявки на поставку контрольного образца сенсорной панели, Поставщик ос</w:t>
            </w:r>
            <w:r>
              <w:rPr>
                <w:rFonts w:ascii="Times New Roman" w:hAnsi="Times New Roman"/>
                <w:sz w:val="24"/>
              </w:rPr>
              <w:t>уществляет поставк</w:t>
            </w:r>
            <w:r>
              <w:rPr>
                <w:rFonts w:ascii="Times New Roman" w:hAnsi="Times New Roman"/>
                <w:sz w:val="24"/>
              </w:rPr>
              <w:t xml:space="preserve">у такого образца в количестве 1 штуки в течение 9 рабочих дней с даты направления заявки.  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Если контрольный образец не соответствует характеристикам, указанным в Договоре, то Заказчик вправе принять решение об односторонне отказе от исполнения Договора в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>рядке, предусмотренном Законом № 44-ФЗ.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Последующее исполнение Договора осуществляется Поставщиком в соответствии с условиями настоящего Договора, при условии соответствия контрольного образца условиям Договора.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Гарантия качества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10.1. Поставщик гар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антирует качество и надежность Товара в течение всего срока его эксплуатации. Поставщик гарантирует соответствие Товара условиям техники безопасности, предъявляемым к конструкциям данного типа.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10.2. Гарантийные сроки на товар должны быть не менее 3-х лет,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в том числе на работы по установке Товара.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Предоставление гарантии осуществляется вместе с товаром. Течение гарантийных сроков устанавливается со дня подписания Заказчиком документов о приемке, сформированных в Единой информационной системе в сфере закупо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 и подписанных электронными подписями Сторон.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 случае обнаружения в пределах предусмотренных гарантийных сроков, недостатков, Поставщик обязан устранить такие недостатки за свой счет, в сроки, согласованные с Заказчиком в письменном виде.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 случае появле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ния следов износа, сколов, иных механических повреждений Поставщик обязуется провести ремонт или заменить на новое изделие в течение 20 рабочих дней с момента уведомления Заказчиком о наступившем случае официальным письмом по адресу, указанному в Договоре.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10.3. Гарантийный срок продлевается на период устранения неисправностей.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10.4. В случаях, предусмотренных законодательством РФ, Поставщик должен предоставить на интерактивные сенсорные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</w:rPr>
              <w:t>панели  следующее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</w:rPr>
              <w:t>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Паспорт.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Руководство по эксплуатации;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Декларация о соответствии товара ТР ЕАЭС 037/2016.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Сертификаты соответствия или Декларации о соответствии требованиям технического регламента Евразийского экономического союза (технического регламента Таможенного союза): ТР ТС 004/2011 «О безопасности ни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зковольтного оборудования»; ТР ТС 020/2011 «Электромагнитная совместимость технических средств».</w:t>
            </w:r>
          </w:p>
        </w:tc>
      </w:tr>
      <w:tr w:rsidR="00521FB6">
        <w:trPr>
          <w:trHeight w:val="2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11.</w:t>
            </w:r>
          </w:p>
        </w:tc>
        <w:tc>
          <w:tcPr>
            <w:tcW w:w="2837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Отчетная документация</w:t>
            </w:r>
          </w:p>
        </w:tc>
        <w:tc>
          <w:tcPr>
            <w:tcW w:w="6268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 срок до 18</w:t>
            </w:r>
            <w:r>
              <w:rPr>
                <w:rFonts w:ascii="Times New Roman" w:hAnsi="Times New Roman"/>
                <w:sz w:val="24"/>
              </w:rPr>
              <w:t>.12.2026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(включительно) Поставщик предоставляет Заказчику отчетную документацию. 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Отчет должен содержать: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 согласованн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ый дизайн-проект каждой единицы Товара; 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 фотоотчет по установке каждой единицы Товара;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- информационные письма, согласования, в соответствии с Техническим заданием;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- акты, протоколы, ведомости, заключения 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т.п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, подтверждающие пусконаладочные работы </w:t>
            </w:r>
            <w:r>
              <w:rPr>
                <w:rFonts w:ascii="Times New Roman" w:hAnsi="Times New Roman"/>
                <w:spacing w:val="-1"/>
                <w:sz w:val="24"/>
              </w:rPr>
              <w:t>(включая испытание электроустановок, проведение контрольных замеров);</w:t>
            </w:r>
          </w:p>
          <w:p w:rsidR="00521FB6" w:rsidRDefault="00F8721F">
            <w:pPr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- документы, подтверждающие переход неисключительных прав на ПО, примененное Поставщиком при исполнении Договора, а также иную интеллектуальную собственность, созданную Поставщиком при исполнении Договора, Заказчику.  </w:t>
            </w:r>
          </w:p>
        </w:tc>
      </w:tr>
    </w:tbl>
    <w:p w:rsidR="00521FB6" w:rsidRDefault="00F8721F">
      <w:pPr>
        <w:sectPr w:rsidR="00521FB6">
          <w:pgSz w:w="11906" w:h="16838"/>
          <w:pgMar w:top="1134" w:right="851" w:bottom="993" w:left="1276" w:header="0" w:footer="0" w:gutter="0"/>
          <w:cols w:space="720"/>
          <w:formProt w:val="0"/>
          <w:docGrid w:linePitch="100"/>
        </w:sectPr>
      </w:pPr>
      <w:r>
        <w:br w:type="page"/>
      </w:r>
    </w:p>
    <w:p w:rsidR="00521FB6" w:rsidRDefault="00521FB6">
      <w:pPr>
        <w:rPr>
          <w:rFonts w:ascii="Times New Roman" w:hAnsi="Times New Roman"/>
          <w:color w:val="000000" w:themeColor="text1"/>
          <w:sz w:val="24"/>
          <w:u w:val="single"/>
        </w:rPr>
      </w:pPr>
    </w:p>
    <w:p w:rsidR="00521FB6" w:rsidRDefault="00F8721F">
      <w:pPr>
        <w:spacing w:after="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Приложение № 1</w:t>
      </w:r>
      <w:r>
        <w:rPr>
          <w:rFonts w:ascii="Times New Roman" w:hAnsi="Times New Roman"/>
          <w:b/>
          <w:sz w:val="24"/>
          <w:u w:val="single"/>
        </w:rPr>
        <w:t xml:space="preserve"> к Техническому заданию</w:t>
      </w:r>
    </w:p>
    <w:p w:rsidR="00521FB6" w:rsidRDefault="00F8721F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Функциональные, технические и качественные характеристики поставляемого товара</w:t>
      </w:r>
    </w:p>
    <w:tbl>
      <w:tblPr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"/>
        <w:gridCol w:w="2374"/>
        <w:gridCol w:w="5101"/>
        <w:gridCol w:w="5105"/>
        <w:gridCol w:w="1559"/>
      </w:tblGrid>
      <w:tr w:rsidR="00521FB6">
        <w:trPr>
          <w:trHeight w:val="30"/>
        </w:trPr>
        <w:tc>
          <w:tcPr>
            <w:tcW w:w="74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№ п/п</w:t>
            </w:r>
          </w:p>
          <w:p w:rsidR="00521FB6" w:rsidRDefault="00521F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237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Наименование </w:t>
            </w:r>
          </w:p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товара, ОКПД 2</w:t>
            </w:r>
          </w:p>
        </w:tc>
        <w:tc>
          <w:tcPr>
            <w:tcW w:w="10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Функциональные, технические и качественные характеристики товара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Единица измерения</w:t>
            </w: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Наименование показателя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(параметра)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Значение показателя (параметра)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Интерактивная сенсорная панель,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ОКПД 2 26.20.16.140</w:t>
            </w: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характеристики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штука</w:t>
            </w: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Рабочая температура,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град.С</w:t>
            </w:r>
            <w:proofErr w:type="spellEnd"/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-40 до +50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Рабочая влажность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5% до 98%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Рабочая среда эксплуатации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Уличная,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длительное ежедневное воздействие прямых солнечных лучей, дождя, снега и пыли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Срок службы, лет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5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Степени защиты сенсорного экрана от внешних воздействий пыли и влаги (Код IP) по ГОСТ 14254-2015 (IEC 60529:2013)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хуже IP65, герметичный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корпус, проникновение пыли и воды предотвращено полностью, полная защита от водяных струй, снега и дождя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Климатическая система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Встроенная, автоматическая, обеспечивающая работу в указанном выше диапазоне внешней температуры и влажности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Удаление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влаги и тепла во внешнюю среду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Принудительное приточно-вытяжное охлаждение интерактивной панели и электронных устройств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 вентиляционных отверстий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Да, в рамках защиты от внешних воздействий пыли и влаги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 xml:space="preserve">Фильтры в системе вентиляции </w:t>
            </w:r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>обеспечивающих защиту от проникновения пыли внутрь корпуса по классу защиты М6.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 вентиляторов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Автоматическое охлаждение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Автоматический обогрев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Автоматическое осушение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Дренажные отверстия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Уровень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шума системы охлаждения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более 60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Дб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(А) на расстоянии 1 метр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Внешняя кнопка включения/перезагрузки сенсорной интерактивной панели, защищенная от несанкционированного доступа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Ригельная система запирания в двух точках, расположенная на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задней панели в верхней и нижней части оснащённая ручкой-замком с тяговым механизмом со степенью защиты системы запирания: не ниже IP 54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Напряжение питания, 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220-240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Частота, Гц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50-60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Энергопотребление, Вт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более 1700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 вводе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электропитания автомат защиты и устройство защитного отключения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 сенсорной интерактивной панели должен быть предусмотрен ввод электропитания через рубильник (разъединитель), рассчитанный на номинальный ток с запасом не менее 25–30% от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расчетной нагрузки, за которым следует вводной автоматический выключатель, обеспечивающий защиту от перегрузок и коротких замыканий. После вводного автомата должно быть установлено реле контроля напряжения для защиты от нестабильного напряжения. Линии элек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тропитания внутри сенсорной интерактивной панели, предусматривающие подключение различного оборудования, должны быть защищены автоматическими выключателями, устройствами защитного отключения, а также устройствами защиты от дугового пробоя в соответствии с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расчетной нагрузкой.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Кроме того, должна быть предусмотрена защита сенсорной интерактивной панели от импульсных перенапряжений.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Приваренный к металлической конструкции внутри корпуса винт для присоединения внешнего защитного заземления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Единый внутренний контур защитного заземления, соединяющий все металлические части конструкции и корпуса электронных устройств, требующих заземления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Вандалоустойчивый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корпус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Материнская плата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Количество ядер процессора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менее 8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Оперативная память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ниже DDR4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tabs>
                <w:tab w:val="left" w:pos="1324"/>
              </w:tabs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Видеокарта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встроенная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Порт для подключения монитора (дисплея)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Наличие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Объем поддерживаемой оперативной памяти (ОЗУ), Гб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64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Количество слотов для ОЗУ, шт.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2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Объем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установленной ОЗУ, Гб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64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Встроенный адаптер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Ethernet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10/100/1000 Мбит/с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Порт LAN 8P8C (стандарт «RJ-45»)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Наличие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Беспроводной 4G маршрутизатор с поддержкой до двух GSM/3G/LTE модулей, L2VPN и операционной системы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MikroTik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RouterOS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Беспроводный сетевой адаптер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Wi-Fi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работающий в диапазонах 2,4 ГГц + 5 ГГц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Наличие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Точка доступа для организации общественной сети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Wi-Fi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работающий в диапазонах 2,4 ГГц + 5 ГГц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Беспроводный сетевой адаптер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Bluetooth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4.0 и выше c мощностью передатчика не менее 20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дБм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Организация защищенного канала связи с использованием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Vipnet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Client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(версии не ниже 4.х.) сети 2089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Встроенная звуковая карта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Наличие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Порт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Audio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I/O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Наличие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Порты USB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2.0, шт.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2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Порты USB 3.1, шт.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1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Порт HDMI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Мощность блока питания, Вт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800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Накопитель данных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Емкость, Гб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256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Тип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SSD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Интерфейс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M.2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Аудиосистема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Аудиосистема встроенная,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динамики общей мощностью, Вт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50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Двухполосная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система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Да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Частотный диапазон, Гц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75  – 20 000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Макс звуковое давление,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Дб</w:t>
            </w:r>
            <w:proofErr w:type="spellEnd"/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99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Встроенный микрофон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Индукционная система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Встроенная индукционная система трансляции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аудиоинформации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Поставка к каждой сенсорной интерактивной панели комплекта оборудования для обеспечения технологической связи для обеспечения контроля работоспособности, защищенности и отказоустойчивости оборудования, работающего в соответствии с </w:t>
            </w:r>
            <w:bookmarkStart w:id="1" w:name="_Hlk175657920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ГОСТ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Р 71168–2023 и СКЗИ каналов связи</w:t>
            </w:r>
            <w:bookmarkEnd w:id="1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(Далее – Беспроводная защищенная технологическая сеть, БЗТС)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Поддержка функции информирования о потере штатного питания на сенсорной интерактивной панели с передачей информации через БЗТС.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Энергонезависимый датчик открытия, мониторинга влажности, температуры, акселерометр с формированием тревожного сообщения по событиям, подключаемый для передачи данных через БЗТС: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Вскрытие корпуса сенсорной интерактивной панели;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Достижение предельных эк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сплуатационных режимов эксплуатации сенсорной интерактивной панели по температуре и влажности;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Удар, тряска сенсорной интерактивной панели;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Комплекс технического учета электроэнергии сенсорной интерактивной панели с возможностью передачи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через БЗТС информации: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Технический учет электроэнергии;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Контроль параметров качества электроэнергии;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- Возможность перезагрузки оборудования через отключение/включения электропитания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Hard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reset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);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Комплекс подключения к сенсорной интерактив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ной панели и передачи через БЗТС статуса состояний сенсорной интерактивной панели для отслеживания работоспособности сенсорной интерактивной панели и сетей связи;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Энергонезависимый датчик контроля возгорания и температуры с формированием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тревожного сообщения по настраиваемому событию, подключаемый для передачи данных через БЗТС.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Необходимый набор кабелей и переходников для коммутации внутренних и внешних устройств информационного терминала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Сетевые кабели 220В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Монитор (дисплей)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Монитор (дисплей)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Ориентация монитора (дисплея)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Согласуется вместе с дизайном МАФ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Яркость матрицы, кд/м2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2500 до 3000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количество цветовых оттенков, млн.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16,7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Коэффициент контрастности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4000:1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Время отклика,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мс</w:t>
            </w:r>
            <w:proofErr w:type="spellEnd"/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более 10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Разрешение экрана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по вертикали не менее 3840, по горизонтали не менее 2160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Углы обзора, горизонтальный/вертикальный, град.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178/178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Диагональ, дюйм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55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Проекционно-емкостная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сенсорная панель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Технология распознавания касаний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Проекционно-емкостная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3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Температура эксплуатации, в диапазоне, включительно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-40℃ до +50℃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Прозрачность, %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90% ±3%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Интерфейс для подключения к материнской плате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>Ethernet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 xml:space="preserve"> 10/100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>Base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highlight w:val="white"/>
              </w:rPr>
              <w:t>-T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Нечеткость (замутненность), %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менее 2,5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Испытание на стойкость, касаний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100 000 000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Закаленное двуслойное защитное стекло с антибликовым покрытием устойчивое к царапинам и механическим повреждениям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Вандалоустойчивое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стекло экрана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Узел видеонаблюдения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Программный или аппаратный видеосервер с поддержкой формирования внешних RTSP потоков и интегрированный с Региональной системой интеллектуального видеонаблюдения Ярославской области.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 уличной видеокамеры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шт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(фронтальная, тыловая,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селфи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камеры)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Цвет изображения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Цветная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Исполнение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Уличная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Размер матрицы, "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1/2.8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Разрешение камеры,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Мп</w:t>
            </w:r>
            <w:proofErr w:type="spellEnd"/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4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Разрешение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1920 х 1080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Рабочая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температура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-40 до +50 °С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Количество одновременно формируемых потоков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2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Система пожаротушения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Масса снаряженного генератора огнетушащего аэрозоля (ГОА), г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более 21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Максимальный защищаемый объем условно- герметичного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помещения при тушении пожаров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кл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. А2 и В, м3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более 0,1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Масса огнетушащего аэрозольного состава, г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более 2,6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Длина(L), мм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Диаметр (D), мм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ind w:firstLine="31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более 77 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более 21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ab/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Количество тепла, выделяемого ГОА, кдж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менее 10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ab/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Допустимое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напряжение применения генератора на электроустановках до 38кВ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ab/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Температурный диапазон эксплуатации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от -60°С до +60°С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Пожаротушащая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эффективность, кг/м3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0,025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 электронной системы охлаждения аэрозоля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Температура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самосрабатывания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, °С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более 320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Срок службы системы пожаротушения, лет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не менее 10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Сертификат соответствия ФГБУ ВНИИПО МЧС России А» (подкласс «А2»), «В», «С», «Е»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Термошнур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, м</w:t>
            </w:r>
          </w:p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0,5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Обеспечение мониторинга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показателей активного оборудования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Наличие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Углы конструкций закругленные,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травмобезопасные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соответствие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521FB6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699"/>
        </w:trPr>
        <w:tc>
          <w:tcPr>
            <w:tcW w:w="74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237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Малая архитектурная форма,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ОКПД 2 25.99.99.229</w:t>
            </w: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13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Корпус МАФ по заявке Заказчика может обеспечивать возможность эргономичного размещения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электронных устройств внутри корпуса с обеспечением возможности работы с ними, замены, коммутации через технологические люки и съемные панели, запирающиеся на замки с классом защиты не ниже 2.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Отсутствие видимых швов, равномерность цвета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соответствие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штука</w:t>
            </w:r>
          </w:p>
        </w:tc>
      </w:tr>
      <w:tr w:rsidR="00521FB6">
        <w:trPr>
          <w:trHeight w:val="699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Углы конструкций закругленные,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травмобезопасные</w:t>
            </w:r>
            <w:proofErr w:type="spellEnd"/>
            <w:r>
              <w:rPr>
                <w:rFonts w:ascii="Times New Roman" w:hAnsi="Times New Roman"/>
                <w:sz w:val="24"/>
                <w:highlight w:val="white"/>
              </w:rPr>
              <w:t>, препятствующие зацепам.</w:t>
            </w:r>
          </w:p>
          <w:p w:rsidR="00521FB6" w:rsidRDefault="00F8721F">
            <w:pPr>
              <w:spacing w:after="0" w:line="240" w:lineRule="auto"/>
              <w:ind w:firstLine="455"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Поверхности, </w:t>
            </w:r>
            <w:proofErr w:type="spellStart"/>
            <w:r>
              <w:rPr>
                <w:rFonts w:ascii="Times New Roman" w:hAnsi="Times New Roman"/>
                <w:sz w:val="24"/>
                <w:highlight w:val="white"/>
              </w:rPr>
              <w:t>минимизирующие</w:t>
            </w:r>
            <w:proofErr w:type="spellEnd"/>
            <w:r>
              <w:rPr>
                <w:rFonts w:ascii="Times New Roman" w:hAnsi="Times New Roman"/>
                <w:sz w:val="24"/>
                <w:highlight w:val="white"/>
              </w:rPr>
              <w:t xml:space="preserve"> накопление грязи и лёгкие в очистке.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strike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соответствие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Силовой каркас должен быть из стальной профильной трубы, каркас фигуры должен быть обшит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композитными панелями. Металлический каркас должен быть окрашен для защиты от коррозии порошковой краской. Область применения краски должна быть для окрашивания металлических изделий для различных отраслей промышленности, подвергающихся воздействию атмосфе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рных факторов, постоянно эксплуатируемых на открытом воздухе. Краска по составу должна представлять собой гомогенизированную порошковую смесь полиэфирной смолы, отвердителей, пигментов, наполнителей и модификаторов, подобранных для обеспечения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атмосферосто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йкости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и светостойкости. Покрытие должно осуществлять не менее два и не более четыре слоя. Изделие должно быть предназначено для использования в уличных условиях. Диапазон температуры использования -50…+60 град.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соответствие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Общие требования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- Назначение: Изделие предназначено для установки в общественных пространствах с высокой проходимостью и риском механических повреждений (например, парки, скверы, транспортные узлы, зоны отдыха). </w:t>
            </w:r>
            <w:r>
              <w:rPr>
                <w:rFonts w:ascii="Times New Roman" w:hAnsi="Times New Roman"/>
                <w:sz w:val="24"/>
              </w:rPr>
              <w:br/>
              <w:t>- Материал: Стеклопластик (полиэфирная или эпоксидная смола</w:t>
            </w:r>
            <w:r>
              <w:rPr>
                <w:rFonts w:ascii="Times New Roman" w:hAnsi="Times New Roman"/>
                <w:sz w:val="24"/>
              </w:rPr>
              <w:t xml:space="preserve">, армированная стекловолокном с поверхностной плотностью не менее 200 </w:t>
            </w:r>
            <w:proofErr w:type="spellStart"/>
            <w:r>
              <w:rPr>
                <w:rFonts w:ascii="Times New Roman" w:hAnsi="Times New Roman"/>
                <w:sz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/м2) с добавлением модификаторов для повышения прочности. </w:t>
            </w:r>
          </w:p>
          <w:p w:rsidR="00521FB6" w:rsidRDefault="00F8721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Примечание: возможность использования других композитов или металлов, если они обеспечивают такие же или лучшие </w:t>
            </w:r>
            <w:r>
              <w:rPr>
                <w:rFonts w:ascii="Times New Roman" w:hAnsi="Times New Roman"/>
                <w:sz w:val="24"/>
                <w:highlight w:val="white"/>
              </w:rPr>
              <w:t>характеристики.</w:t>
            </w:r>
            <w:r>
              <w:rPr>
                <w:rFonts w:ascii="Times New Roman" w:hAnsi="Times New Roman"/>
                <w:sz w:val="24"/>
              </w:rPr>
              <w:br/>
              <w:t xml:space="preserve">- Требования к устойчивости: Повышенная стойкость к: </w:t>
            </w:r>
            <w:r>
              <w:rPr>
                <w:rFonts w:ascii="Times New Roman" w:hAnsi="Times New Roman"/>
                <w:sz w:val="24"/>
              </w:rPr>
              <w:br/>
              <w:t xml:space="preserve">  - Абразивному износу. </w:t>
            </w:r>
            <w:r>
              <w:rPr>
                <w:rFonts w:ascii="Times New Roman" w:hAnsi="Times New Roman"/>
                <w:sz w:val="24"/>
              </w:rPr>
              <w:br/>
              <w:t xml:space="preserve">  - Ударным воздействиям (вандализм, случайные удары). </w:t>
            </w:r>
            <w:r>
              <w:rPr>
                <w:rFonts w:ascii="Times New Roman" w:hAnsi="Times New Roman"/>
                <w:sz w:val="24"/>
              </w:rPr>
              <w:br/>
              <w:t xml:space="preserve">  - Царапинам (например, металлическими предметами, острыми элементами). </w:t>
            </w:r>
            <w:r>
              <w:rPr>
                <w:rFonts w:ascii="Times New Roman" w:hAnsi="Times New Roman"/>
                <w:sz w:val="24"/>
              </w:rPr>
              <w:br/>
              <w:t>  - Атмосферным воздействиям (У</w:t>
            </w:r>
            <w:r>
              <w:rPr>
                <w:rFonts w:ascii="Times New Roman" w:hAnsi="Times New Roman"/>
                <w:sz w:val="24"/>
              </w:rPr>
              <w:t xml:space="preserve">Ф-излучение, перепады температур, влага). </w:t>
            </w:r>
            <w:r>
              <w:rPr>
                <w:rFonts w:ascii="Times New Roman" w:hAnsi="Times New Roman"/>
                <w:sz w:val="24"/>
              </w:rPr>
              <w:br/>
              <w:t xml:space="preserve">2. Конструктивные требования </w:t>
            </w:r>
            <w:r>
              <w:rPr>
                <w:rFonts w:ascii="Times New Roman" w:hAnsi="Times New Roman"/>
                <w:sz w:val="24"/>
              </w:rPr>
              <w:br/>
              <w:t xml:space="preserve">- Армирование: Дополнительные слои </w:t>
            </w:r>
            <w:proofErr w:type="spellStart"/>
            <w:r>
              <w:rPr>
                <w:rFonts w:ascii="Times New Roman" w:hAnsi="Times New Roman"/>
                <w:sz w:val="24"/>
              </w:rPr>
              <w:t>стекломата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ровинга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критических зонах. </w:t>
            </w:r>
            <w:r>
              <w:rPr>
                <w:rFonts w:ascii="Times New Roman" w:hAnsi="Times New Roman"/>
                <w:sz w:val="24"/>
              </w:rPr>
              <w:br/>
              <w:t xml:space="preserve">- Поверхность: </w:t>
            </w:r>
            <w:r>
              <w:rPr>
                <w:rFonts w:ascii="Times New Roman" w:hAnsi="Times New Roman"/>
                <w:sz w:val="24"/>
              </w:rPr>
              <w:br/>
              <w:t xml:space="preserve">  - Гладкая, но не скользкая. </w:t>
            </w:r>
            <w:r>
              <w:rPr>
                <w:rFonts w:ascii="Times New Roman" w:hAnsi="Times New Roman"/>
                <w:sz w:val="24"/>
              </w:rPr>
              <w:br/>
              <w:t>  - Нанесение антивандального покрытия (например, полиуретан</w:t>
            </w:r>
            <w:r>
              <w:rPr>
                <w:rFonts w:ascii="Times New Roman" w:hAnsi="Times New Roman"/>
                <w:sz w:val="24"/>
              </w:rPr>
              <w:t xml:space="preserve">овый лак, </w:t>
            </w:r>
            <w:proofErr w:type="spellStart"/>
            <w:r>
              <w:rPr>
                <w:rFonts w:ascii="Times New Roman" w:hAnsi="Times New Roman"/>
                <w:sz w:val="24"/>
              </w:rPr>
              <w:t>нанокерамика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). </w:t>
            </w:r>
            <w:r>
              <w:rPr>
                <w:rFonts w:ascii="Times New Roman" w:hAnsi="Times New Roman"/>
                <w:sz w:val="24"/>
              </w:rPr>
              <w:br/>
              <w:t xml:space="preserve">  - Допускается </w:t>
            </w:r>
            <w:proofErr w:type="spellStart"/>
            <w:r>
              <w:rPr>
                <w:rFonts w:ascii="Times New Roman" w:hAnsi="Times New Roman"/>
                <w:sz w:val="24"/>
              </w:rPr>
              <w:t>текстурирование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маскировки мелких повреждений. </w:t>
            </w:r>
            <w:r>
              <w:rPr>
                <w:rFonts w:ascii="Times New Roman" w:hAnsi="Times New Roman"/>
                <w:sz w:val="24"/>
              </w:rPr>
              <w:br/>
              <w:t xml:space="preserve">3. Защитные покрытия и обработка </w:t>
            </w:r>
            <w:r>
              <w:rPr>
                <w:rFonts w:ascii="Times New Roman" w:hAnsi="Times New Roman"/>
                <w:sz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Гелькоут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: УФ-стабилизированный, с повышенной твердостью. </w:t>
            </w:r>
            <w:r>
              <w:rPr>
                <w:rFonts w:ascii="Times New Roman" w:hAnsi="Times New Roman"/>
                <w:sz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</w:rPr>
              <w:t>Антиграффити</w:t>
            </w:r>
            <w:proofErr w:type="spellEnd"/>
            <w:r>
              <w:rPr>
                <w:rFonts w:ascii="Times New Roman" w:hAnsi="Times New Roman"/>
                <w:sz w:val="24"/>
              </w:rPr>
              <w:t>: Покрытие, позволяющее легко удалять краску и надписи</w:t>
            </w:r>
            <w:r>
              <w:rPr>
                <w:rFonts w:ascii="Times New Roman" w:hAnsi="Times New Roman"/>
                <w:sz w:val="24"/>
              </w:rPr>
              <w:t xml:space="preserve"> без повреждения поверхности. </w:t>
            </w:r>
            <w:r>
              <w:rPr>
                <w:rFonts w:ascii="Times New Roman" w:hAnsi="Times New Roman"/>
                <w:sz w:val="24"/>
              </w:rPr>
              <w:br/>
              <w:t xml:space="preserve">- Огнестойкость: Соответствие ГОСТ Р 53310-2009 (класс Г1 или выше). </w:t>
            </w:r>
            <w:r>
              <w:rPr>
                <w:rFonts w:ascii="Times New Roman" w:hAnsi="Times New Roman"/>
                <w:sz w:val="24"/>
              </w:rPr>
              <w:br/>
              <w:t xml:space="preserve">4. Качество </w:t>
            </w:r>
            <w:r>
              <w:rPr>
                <w:rFonts w:ascii="Times New Roman" w:hAnsi="Times New Roman"/>
                <w:sz w:val="24"/>
              </w:rPr>
              <w:br/>
              <w:t xml:space="preserve">  - Ударная стойкость (испытание падающим грузом ≥ 10 кг с высоты 1 м – без трещин). </w:t>
            </w:r>
            <w:r>
              <w:rPr>
                <w:rFonts w:ascii="Times New Roman" w:hAnsi="Times New Roman"/>
                <w:sz w:val="24"/>
              </w:rPr>
              <w:br/>
              <w:t xml:space="preserve">- Климатические тесты: </w:t>
            </w:r>
            <w:r>
              <w:rPr>
                <w:rFonts w:ascii="Times New Roman" w:hAnsi="Times New Roman"/>
                <w:sz w:val="24"/>
              </w:rPr>
              <w:br/>
              <w:t xml:space="preserve">  - Устойчивость к УФ (не менее </w:t>
            </w:r>
            <w:r>
              <w:rPr>
                <w:rFonts w:ascii="Times New Roman" w:hAnsi="Times New Roman"/>
                <w:sz w:val="24"/>
              </w:rPr>
              <w:t xml:space="preserve">1000 часов без выцветания). </w:t>
            </w:r>
            <w:r>
              <w:rPr>
                <w:rFonts w:ascii="Times New Roman" w:hAnsi="Times New Roman"/>
                <w:sz w:val="24"/>
              </w:rPr>
              <w:br/>
              <w:t xml:space="preserve">5. Монтаж и обслуживание </w:t>
            </w:r>
            <w:r>
              <w:rPr>
                <w:rFonts w:ascii="Times New Roman" w:hAnsi="Times New Roman"/>
                <w:sz w:val="24"/>
              </w:rPr>
              <w:br/>
              <w:t xml:space="preserve">- Крепежные элементы – нержавеющая сталь. </w:t>
            </w:r>
            <w:r>
              <w:rPr>
                <w:rFonts w:ascii="Times New Roman" w:hAnsi="Times New Roman"/>
                <w:sz w:val="24"/>
              </w:rPr>
              <w:br/>
              <w:t xml:space="preserve">- Возможность замены поврежденных частей. </w:t>
            </w:r>
            <w:r>
              <w:rPr>
                <w:rFonts w:ascii="Times New Roman" w:hAnsi="Times New Roman"/>
                <w:sz w:val="24"/>
              </w:rPr>
              <w:br/>
              <w:t>- Рекомендации по очистке:</w:t>
            </w:r>
          </w:p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устойчивость декоративного слоя к чистке щётками и моющими средствами (</w:t>
            </w:r>
            <w:r>
              <w:rPr>
                <w:rFonts w:ascii="Times New Roman" w:hAnsi="Times New Roman"/>
                <w:sz w:val="24"/>
              </w:rPr>
              <w:t>без абразивов, до</w:t>
            </w:r>
            <w:r>
              <w:rPr>
                <w:rFonts w:ascii="Times New Roman" w:hAnsi="Times New Roman"/>
                <w:sz w:val="24"/>
              </w:rPr>
              <w:t xml:space="preserve">пускается мойка под давлением). 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соответствие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МАФ должна быть оборудована системой внутренней подсветки, позволяющей осуществлять равномерное освещение всей конструкции либо отдельных ее элементов по выбору Заказчика.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Управление подсветкой должно быть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дистанционным и/или автоматизированным по согласованию с Заказчиком.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Варианты подсветки: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Полная подсветка: система должна обеспечивать равномерное внутреннее освещение всей конструкции МАФ.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Локальная подсветка: система должна позволять выделять светом отд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ельные элементы МАФ (например, декоративные панели, надписи, конструктивные детали) по выбору Заказчика.</w:t>
            </w:r>
          </w:p>
          <w:p w:rsidR="00521FB6" w:rsidRDefault="00F8721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Вариант подсветки на каждый МАФ утверждается Заказчиком.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Технические характеристики: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 xml:space="preserve">Источники света: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энергоэффективные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(светодиодные, RGB или монохром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ные по согласованию с Заказчиком).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Цветовая температура и режимы работы (статика/динамика) – по согласованию с Заказчиком.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Система должна быть защищена от влаги и пыли (степень защиты IP54 или выше).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Регулировка и управление: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Возможность настройки интенсив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ности, цвета и зон подсветки в соответствии с заявкой Заказчика.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br/>
              <w:t>Допускается использование программируемых контроллеров с возможностью предустановленных сценариев освещения.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соответствие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Высота, мм  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ind w:firstLine="32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от 1700  до 2500 (в зависимости от примера и (или)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описания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МАФа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20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Тип малой архитектурной формы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3Д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  <w:tr w:rsidR="00521FB6">
        <w:trPr>
          <w:trHeight w:val="67"/>
        </w:trPr>
        <w:tc>
          <w:tcPr>
            <w:tcW w:w="74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  <w:tc>
          <w:tcPr>
            <w:tcW w:w="51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Срок службы, лет</w:t>
            </w:r>
          </w:p>
        </w:tc>
        <w:tc>
          <w:tcPr>
            <w:tcW w:w="5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1FB6" w:rsidRDefault="00F8721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Не менее 5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521FB6" w:rsidRDefault="00521FB6">
            <w:pPr>
              <w:rPr>
                <w:sz w:val="20"/>
              </w:rPr>
            </w:pPr>
          </w:p>
        </w:tc>
      </w:tr>
    </w:tbl>
    <w:p w:rsidR="00521FB6" w:rsidRDefault="00521FB6">
      <w:pPr>
        <w:sectPr w:rsidR="00521FB6">
          <w:pgSz w:w="16838" w:h="11906" w:orient="landscape"/>
          <w:pgMar w:top="1276" w:right="1134" w:bottom="851" w:left="993" w:header="0" w:footer="0" w:gutter="0"/>
          <w:cols w:space="720"/>
          <w:formProt w:val="0"/>
          <w:docGrid w:linePitch="100"/>
        </w:sectPr>
      </w:pPr>
    </w:p>
    <w:p w:rsidR="00521FB6" w:rsidRDefault="00F8721F">
      <w:pPr>
        <w:rPr>
          <w:rFonts w:ascii="Times New Roman" w:hAnsi="Times New Roman"/>
          <w:b/>
          <w:color w:val="000000" w:themeColor="text1"/>
          <w:sz w:val="24"/>
          <w:u w:val="single"/>
        </w:rPr>
      </w:pPr>
      <w:r>
        <w:rPr>
          <w:rFonts w:ascii="Times New Roman" w:hAnsi="Times New Roman"/>
          <w:b/>
          <w:color w:val="000000" w:themeColor="text1"/>
          <w:sz w:val="24"/>
          <w:u w:val="single"/>
        </w:rPr>
        <w:t>Приложение № 2 к Техническому заданию</w:t>
      </w:r>
    </w:p>
    <w:p w:rsidR="00521FB6" w:rsidRDefault="00F8721F">
      <w:pPr>
        <w:pStyle w:val="1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Общие возможности пользовательского интерфейса ПО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Пользователь ПО должен иметь возможность выбора языка </w:t>
      </w:r>
      <w:r>
        <w:rPr>
          <w:rFonts w:ascii="Times New Roman" w:hAnsi="Times New Roman"/>
          <w:sz w:val="28"/>
        </w:rPr>
        <w:t>интерфейса, что позволит настроить приложение в соответствии с предпочтениями и языковыми навыками. Основным языком интерфейса является русский. Список языков, а также материалы для размещения на каждом из них предоставляется Заказчиком.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Интерактивные плит</w:t>
      </w:r>
      <w:r>
        <w:rPr>
          <w:rFonts w:ascii="Times New Roman" w:hAnsi="Times New Roman"/>
          <w:sz w:val="28"/>
        </w:rPr>
        <w:t>ки: Пользователь может выбирать блоки с тематическим содержанием (наполнением) с помощью интерактивных плиток, что облегчает навигацию и доступ к нужной информации.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Информационная зона: на главном экране ПО должна быть предусмотрена информационная зона, ко</w:t>
      </w:r>
      <w:r>
        <w:rPr>
          <w:rFonts w:ascii="Times New Roman" w:hAnsi="Times New Roman"/>
          <w:sz w:val="28"/>
        </w:rPr>
        <w:t>торая отображает локальное время, дату, обеспечивая пользователя актуальной информацией.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Рекламный блок: в режиме ожидания должен присутствовать рекламный блок с видео или изображением и описаниями к ним, предоставляя пользователю информацию о различных пр</w:t>
      </w:r>
      <w:r>
        <w:rPr>
          <w:rFonts w:ascii="Times New Roman" w:hAnsi="Times New Roman"/>
          <w:sz w:val="28"/>
        </w:rPr>
        <w:t>одуктах, услугах или мероприятиях. Если в рекламный блок загружено несколько материалов, они должны последовательно повторяться. Для изображений должна быть предусмотрена возможность указывать время показа до перехода к следующему материалу.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Виртуальная </w:t>
      </w:r>
      <w:r>
        <w:rPr>
          <w:rFonts w:ascii="Times New Roman" w:hAnsi="Times New Roman"/>
          <w:sz w:val="28"/>
        </w:rPr>
        <w:t>клавиатура: для работы с текстовыми полями должна быть предусмотрена виртуальная клавиатура, которая вызывается при открытии элемента, требующего ввод текста. На виртуальной клавиатуре должна быть предусмотрена кнопка скрыть/показать, которая остается на э</w:t>
      </w:r>
      <w:r>
        <w:rPr>
          <w:rFonts w:ascii="Times New Roman" w:hAnsi="Times New Roman"/>
          <w:sz w:val="28"/>
        </w:rPr>
        <w:t>кране в случае принудительного скрытия. В отсутствии элементов ввода текста кнопка скрыть/показать не отображается.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Должна быть обеспечена возможность выбора из нескольких вариантов конфигураций графического отображения интерфейса наиболее удобного либо со</w:t>
      </w:r>
      <w:r>
        <w:rPr>
          <w:rFonts w:ascii="Times New Roman" w:hAnsi="Times New Roman"/>
          <w:sz w:val="28"/>
        </w:rPr>
        <w:t xml:space="preserve">ответствующего текущему местоположению (например, темная, светлая, яркая для людей с ОВЗ). 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Должно быть реализовано </w:t>
      </w:r>
      <w:proofErr w:type="spellStart"/>
      <w:r>
        <w:rPr>
          <w:rFonts w:ascii="Times New Roman" w:hAnsi="Times New Roman"/>
          <w:sz w:val="28"/>
        </w:rPr>
        <w:t>журналирование</w:t>
      </w:r>
      <w:proofErr w:type="spellEnd"/>
      <w:r>
        <w:rPr>
          <w:rFonts w:ascii="Times New Roman" w:hAnsi="Times New Roman"/>
          <w:sz w:val="28"/>
        </w:rPr>
        <w:t xml:space="preserve"> действий пользователей ПО, </w:t>
      </w:r>
      <w:proofErr w:type="spellStart"/>
      <w:r>
        <w:rPr>
          <w:rFonts w:ascii="Times New Roman" w:hAnsi="Times New Roman"/>
          <w:sz w:val="28"/>
        </w:rPr>
        <w:t>журналирование</w:t>
      </w:r>
      <w:proofErr w:type="spellEnd"/>
      <w:r>
        <w:rPr>
          <w:rFonts w:ascii="Times New Roman" w:hAnsi="Times New Roman"/>
          <w:sz w:val="28"/>
        </w:rPr>
        <w:t xml:space="preserve"> внештатных ситуации и отказов, а также возможность доступа к просмотру журналов онл</w:t>
      </w:r>
      <w:r>
        <w:rPr>
          <w:rFonts w:ascii="Times New Roman" w:hAnsi="Times New Roman"/>
          <w:sz w:val="28"/>
        </w:rPr>
        <w:t xml:space="preserve">айн. Необходимо обеспечить </w:t>
      </w:r>
      <w:proofErr w:type="spellStart"/>
      <w:r>
        <w:rPr>
          <w:rFonts w:ascii="Times New Roman" w:hAnsi="Times New Roman"/>
          <w:sz w:val="28"/>
        </w:rPr>
        <w:t>журналирование</w:t>
      </w:r>
      <w:proofErr w:type="spellEnd"/>
      <w:r>
        <w:rPr>
          <w:rFonts w:ascii="Times New Roman" w:hAnsi="Times New Roman"/>
          <w:sz w:val="28"/>
        </w:rPr>
        <w:t xml:space="preserve"> активных окон, переходов по элементам, поисковых запросов. 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Должен быть реализован режим киоска, позволяющий предотвратить несанкционированный выход из графической оболочки киоска, а также обеспечить ограничение по</w:t>
      </w:r>
      <w:r>
        <w:rPr>
          <w:rFonts w:ascii="Times New Roman" w:hAnsi="Times New Roman"/>
          <w:sz w:val="28"/>
        </w:rPr>
        <w:t xml:space="preserve">сещение любых </w:t>
      </w:r>
      <w:proofErr w:type="spellStart"/>
      <w:r>
        <w:rPr>
          <w:rFonts w:ascii="Times New Roman" w:hAnsi="Times New Roman"/>
          <w:sz w:val="28"/>
        </w:rPr>
        <w:t>интернет-ресурсов</w:t>
      </w:r>
      <w:proofErr w:type="spellEnd"/>
      <w:r>
        <w:rPr>
          <w:rFonts w:ascii="Times New Roman" w:hAnsi="Times New Roman"/>
          <w:sz w:val="28"/>
        </w:rPr>
        <w:t>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Должна быть реализована возможность ручного и автоматического обновление контента в ПО, в т. ч. посредством интеграции с Туристическим порталом Ярославской области.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Должна быть предусмотрена возможность открытия основных фо</w:t>
      </w:r>
      <w:r>
        <w:rPr>
          <w:rFonts w:ascii="Times New Roman" w:hAnsi="Times New Roman"/>
          <w:sz w:val="28"/>
        </w:rPr>
        <w:t>то и видео форматов.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безотказной работы сенсорной интерактивной панели должна быть реализована возможность развертывания серверной части как локально, так и на удаленном устройстве.</w:t>
      </w:r>
    </w:p>
    <w:p w:rsidR="00521FB6" w:rsidRDefault="00F8721F">
      <w:pPr>
        <w:pStyle w:val="ListParagraph1"/>
        <w:numPr>
          <w:ilvl w:val="0"/>
          <w:numId w:val="1"/>
        </w:numPr>
        <w:spacing w:after="160" w:line="259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поддерживает режим работы 24/7 </w:t>
      </w:r>
    </w:p>
    <w:p w:rsidR="00521FB6" w:rsidRDefault="00521FB6">
      <w:pPr>
        <w:rPr>
          <w:rFonts w:ascii="Times New Roman" w:hAnsi="Times New Roman"/>
          <w:sz w:val="28"/>
        </w:rPr>
      </w:pPr>
    </w:p>
    <w:p w:rsidR="00521FB6" w:rsidRDefault="00521FB6">
      <w:pPr>
        <w:rPr>
          <w:rFonts w:ascii="Times New Roman" w:hAnsi="Times New Roman"/>
          <w:sz w:val="24"/>
        </w:rPr>
      </w:pPr>
    </w:p>
    <w:p w:rsidR="00521FB6" w:rsidRDefault="00521FB6"/>
    <w:p w:rsidR="00521FB6" w:rsidRDefault="00F872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Список видов туристс</w:t>
      </w:r>
      <w:r>
        <w:rPr>
          <w:rFonts w:ascii="Times New Roman" w:hAnsi="Times New Roman"/>
          <w:b/>
          <w:sz w:val="24"/>
        </w:rPr>
        <w:t>ких объектов и наименований объектов, информацию по которым Заказчик должен предоставить Поставщику</w:t>
      </w:r>
    </w:p>
    <w:p w:rsidR="00521FB6" w:rsidRDefault="00521FB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Достопримечательности</w:t>
      </w: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1.1. Памятники:</w:t>
      </w:r>
    </w:p>
    <w:p w:rsidR="00521FB6" w:rsidRDefault="00521FB6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 Парки и скверы:</w:t>
      </w:r>
    </w:p>
    <w:p w:rsidR="00521FB6" w:rsidRDefault="00521FB6">
      <w:pPr>
        <w:spacing w:after="0" w:line="240" w:lineRule="auto"/>
        <w:rPr>
          <w:rFonts w:ascii="Times New Roman" w:hAnsi="Times New Roman"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1.3. Храмы и церкви</w:t>
      </w:r>
    </w:p>
    <w:p w:rsidR="00521FB6" w:rsidRDefault="00521FB6">
      <w:pPr>
        <w:spacing w:after="0" w:line="240" w:lineRule="auto"/>
        <w:rPr>
          <w:rFonts w:ascii="Times New Roman" w:hAnsi="Times New Roman"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1.4. Архитектура</w:t>
      </w:r>
    </w:p>
    <w:p w:rsidR="00521FB6" w:rsidRDefault="00521FB6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 Досуг</w:t>
      </w:r>
    </w:p>
    <w:p w:rsidR="00521FB6" w:rsidRDefault="00521FB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2.1. Музеи</w:t>
      </w:r>
    </w:p>
    <w:p w:rsidR="00521FB6" w:rsidRDefault="00521FB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2.2. Театры</w:t>
      </w:r>
    </w:p>
    <w:p w:rsidR="00521FB6" w:rsidRDefault="00521FB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2.3. Концертные и</w:t>
      </w:r>
      <w:r>
        <w:rPr>
          <w:rFonts w:ascii="Times New Roman" w:hAnsi="Times New Roman"/>
          <w:b/>
          <w:sz w:val="24"/>
        </w:rPr>
        <w:t xml:space="preserve"> выставочные залы</w:t>
      </w:r>
    </w:p>
    <w:p w:rsidR="00521FB6" w:rsidRDefault="00521FB6">
      <w:pPr>
        <w:spacing w:after="0" w:line="240" w:lineRule="auto"/>
        <w:rPr>
          <w:rFonts w:ascii="Times New Roman" w:hAnsi="Times New Roman"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 Спорт. Активный отдых. </w:t>
      </w: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3.1. Ледовая арена, каток, хоккей</w:t>
      </w:r>
    </w:p>
    <w:p w:rsidR="00521FB6" w:rsidRDefault="00521FB6">
      <w:pPr>
        <w:spacing w:after="0" w:line="240" w:lineRule="auto"/>
        <w:rPr>
          <w:rFonts w:ascii="Times New Roman" w:hAnsi="Times New Roman"/>
          <w:sz w:val="24"/>
        </w:rPr>
      </w:pPr>
    </w:p>
    <w:p w:rsidR="00521FB6" w:rsidRDefault="00F8721F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3.4. Спортивные площадки</w:t>
      </w:r>
    </w:p>
    <w:p w:rsidR="00521FB6" w:rsidRDefault="00521FB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1FB6" w:rsidRDefault="00521FB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521FB6" w:rsidRDefault="00F8721F">
      <w:pPr>
        <w:rPr>
          <w:rFonts w:ascii="Times New Roman" w:hAnsi="Times New Roman"/>
          <w:b/>
          <w:sz w:val="24"/>
          <w:u w:val="single"/>
        </w:rPr>
      </w:pPr>
      <w:r>
        <w:br w:type="page"/>
      </w:r>
    </w:p>
    <w:p w:rsidR="00521FB6" w:rsidRDefault="00521FB6">
      <w:pPr>
        <w:rPr>
          <w:rFonts w:ascii="Times New Roman" w:hAnsi="Times New Roman"/>
          <w:b/>
          <w:sz w:val="24"/>
          <w:u w:val="single"/>
        </w:rPr>
      </w:pPr>
    </w:p>
    <w:p w:rsidR="00521FB6" w:rsidRDefault="00F8721F">
      <w:pPr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Приложение № 3 к Техническому заданию</w:t>
      </w:r>
    </w:p>
    <w:p w:rsidR="00521FB6" w:rsidRDefault="00F8721F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Примеры возможного внешнего вида малых архитектурных форм</w:t>
      </w:r>
    </w:p>
    <w:p w:rsidR="00521FB6" w:rsidRDefault="00521FB6">
      <w:pPr>
        <w:jc w:val="center"/>
        <w:rPr>
          <w:rFonts w:ascii="Times New Roman" w:hAnsi="Times New Roman"/>
          <w:b/>
          <w:sz w:val="24"/>
        </w:rPr>
      </w:pP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21385" cy="1025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885825" cy="9461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53770" cy="101727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85520" cy="104902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1110615" cy="1184275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66470" cy="1033145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01700" cy="962025"/>
            <wp:effectExtent l="0" t="0" r="0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16305" cy="977900"/>
            <wp:effectExtent l="0" t="0" r="0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44245" cy="1009650"/>
            <wp:effectExtent l="0" t="0" r="0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16305" cy="977900"/>
            <wp:effectExtent l="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43610" cy="1009650"/>
            <wp:effectExtent l="0" t="0" r="0" b="0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40435" cy="834390"/>
            <wp:effectExtent l="0" t="0" r="0" b="0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61390" cy="1025525"/>
            <wp:effectExtent l="0" t="0" r="0" b="0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67740" cy="1033145"/>
            <wp:effectExtent l="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44245" cy="1009650"/>
            <wp:effectExtent l="0" t="0" r="0" b="0"/>
            <wp:docPr id="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887095" cy="946150"/>
            <wp:effectExtent l="0" t="0" r="0" b="0"/>
            <wp:docPr id="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22020" cy="981710"/>
            <wp:effectExtent l="0" t="0" r="0" b="0"/>
            <wp:docPr id="1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F8721F">
      <w:pPr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930275" cy="993775"/>
            <wp:effectExtent l="0" t="0" r="0" b="0"/>
            <wp:docPr id="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521FB6">
      <w:pPr>
        <w:rPr>
          <w:rFonts w:ascii="Times New Roman" w:hAnsi="Times New Roman"/>
          <w:color w:val="000000" w:themeColor="text1"/>
          <w:sz w:val="24"/>
          <w:u w:val="single"/>
        </w:rPr>
      </w:pPr>
    </w:p>
    <w:p w:rsidR="00521FB6" w:rsidRDefault="00F8721F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Примеры </w:t>
      </w:r>
      <w:r>
        <w:rPr>
          <w:rFonts w:ascii="Times New Roman" w:hAnsi="Times New Roman"/>
          <w:b/>
          <w:sz w:val="24"/>
        </w:rPr>
        <w:t>возможной подсветки малых архитектурных форм</w:t>
      </w:r>
    </w:p>
    <w:p w:rsidR="00521FB6" w:rsidRDefault="00521FB6">
      <w:pPr>
        <w:rPr>
          <w:rFonts w:ascii="Times New Roman" w:hAnsi="Times New Roman"/>
          <w:b/>
          <w:sz w:val="24"/>
        </w:rPr>
      </w:pPr>
    </w:p>
    <w:p w:rsidR="00521FB6" w:rsidRDefault="00F8721F">
      <w:pPr>
        <w:jc w:val="both"/>
        <w:rPr>
          <w:rFonts w:ascii="Times New Roman" w:hAnsi="Times New Roman"/>
          <w:b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1510030" cy="1117600"/>
            <wp:effectExtent l="0" t="0" r="0" b="0"/>
            <wp:docPr id="1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FB6" w:rsidRDefault="00521FB6">
      <w:pPr>
        <w:jc w:val="both"/>
        <w:rPr>
          <w:rFonts w:ascii="Times New Roman" w:hAnsi="Times New Roman"/>
          <w:b/>
          <w:sz w:val="24"/>
        </w:rPr>
      </w:pPr>
    </w:p>
    <w:p w:rsidR="00521FB6" w:rsidRDefault="00521FB6">
      <w:pPr>
        <w:jc w:val="both"/>
        <w:rPr>
          <w:rFonts w:ascii="Times New Roman" w:hAnsi="Times New Roman"/>
          <w:b/>
          <w:sz w:val="24"/>
        </w:rPr>
      </w:pPr>
    </w:p>
    <w:sectPr w:rsidR="00521FB6">
      <w:pgSz w:w="11906" w:h="16838"/>
      <w:pgMar w:top="1134" w:right="851" w:bottom="993" w:left="1276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CC"/>
    <w:family w:val="swiss"/>
    <w:pitch w:val="variable"/>
    <w:sig w:usb0="E00082FF" w:usb1="4000205F" w:usb2="0800002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0A9A"/>
    <w:multiLevelType w:val="multilevel"/>
    <w:tmpl w:val="E1F074C0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hanging="360"/>
      </w:pPr>
    </w:lvl>
  </w:abstractNum>
  <w:abstractNum w:abstractNumId="1" w15:restartNumberingAfterBreak="0">
    <w:nsid w:val="26FE29AB"/>
    <w:multiLevelType w:val="multilevel"/>
    <w:tmpl w:val="61C06472"/>
    <w:lvl w:ilvl="0">
      <w:start w:val="1"/>
      <w:numFmt w:val="bullet"/>
      <w:pStyle w:val="4"/>
      <w:lvlText w:val="-"/>
      <w:lvlJc w:val="left"/>
      <w:pPr>
        <w:tabs>
          <w:tab w:val="num" w:pos="1209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hanging="360"/>
      </w:pPr>
    </w:lvl>
  </w:abstractNum>
  <w:abstractNum w:abstractNumId="2" w15:restartNumberingAfterBreak="0">
    <w:nsid w:val="29D10489"/>
    <w:multiLevelType w:val="multilevel"/>
    <w:tmpl w:val="7C4A821E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hanging="360"/>
      </w:pPr>
    </w:lvl>
  </w:abstractNum>
  <w:abstractNum w:abstractNumId="3" w15:restartNumberingAfterBreak="0">
    <w:nsid w:val="471403C9"/>
    <w:multiLevelType w:val="multilevel"/>
    <w:tmpl w:val="D696EEA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Calibri" w:hAnsi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hanging="180"/>
      </w:pPr>
    </w:lvl>
  </w:abstractNum>
  <w:abstractNum w:abstractNumId="4" w15:restartNumberingAfterBreak="0">
    <w:nsid w:val="5610691D"/>
    <w:multiLevelType w:val="multilevel"/>
    <w:tmpl w:val="7E66A5D4"/>
    <w:lvl w:ilvl="0">
      <w:start w:val="1"/>
      <w:numFmt w:val="bullet"/>
      <w:pStyle w:val="2"/>
      <w:lvlText w:val="-"/>
      <w:lvlJc w:val="left"/>
      <w:pPr>
        <w:tabs>
          <w:tab w:val="num" w:pos="644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hanging="360"/>
      </w:pPr>
    </w:lvl>
  </w:abstractNum>
  <w:abstractNum w:abstractNumId="5" w15:restartNumberingAfterBreak="0">
    <w:nsid w:val="746C2378"/>
    <w:multiLevelType w:val="multilevel"/>
    <w:tmpl w:val="CBEC9D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71E0190"/>
    <w:multiLevelType w:val="multilevel"/>
    <w:tmpl w:val="63AACA28"/>
    <w:lvl w:ilvl="0">
      <w:start w:val="1"/>
      <w:numFmt w:val="bullet"/>
      <w:pStyle w:val="3"/>
      <w:lvlText w:val="-"/>
      <w:lvlJc w:val="left"/>
      <w:pPr>
        <w:tabs>
          <w:tab w:val="num" w:pos="927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B6"/>
    <w:rsid w:val="00521FB6"/>
    <w:rsid w:val="00F8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BC895-2B2C-4D58-AECB-966C8E73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ahoma" w:hAnsi="Times New Roman" w:cs="Noto Sans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200" w:line="276" w:lineRule="auto"/>
    </w:pPr>
    <w:rPr>
      <w:rFonts w:ascii="Calibri" w:hAnsi="Calibri"/>
      <w:sz w:val="22"/>
    </w:rPr>
  </w:style>
  <w:style w:type="paragraph" w:styleId="1">
    <w:name w:val="heading 1"/>
    <w:basedOn w:val="a0"/>
    <w:next w:val="a0"/>
    <w:uiPriority w:val="9"/>
    <w:qFormat/>
    <w:pPr>
      <w:keepNext/>
      <w:keepLines/>
      <w:spacing w:before="240" w:after="0" w:line="240" w:lineRule="auto"/>
      <w:ind w:firstLine="709"/>
      <w:jc w:val="both"/>
      <w:outlineLvl w:val="0"/>
    </w:pPr>
    <w:rPr>
      <w:rFonts w:asciiTheme="majorHAnsi" w:hAnsiTheme="majorHAnsi"/>
      <w:color w:val="365F91" w:themeColor="accent1" w:themeShade="BF"/>
      <w:sz w:val="32"/>
    </w:rPr>
  </w:style>
  <w:style w:type="paragraph" w:styleId="20">
    <w:name w:val="heading 2"/>
    <w:basedOn w:val="a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0">
    <w:name w:val="heading 3"/>
    <w:basedOn w:val="a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0">
    <w:name w:val="heading 4"/>
    <w:basedOn w:val="a0"/>
    <w:uiPriority w:val="9"/>
    <w:qFormat/>
    <w:pPr>
      <w:spacing w:after="0" w:line="240" w:lineRule="auto"/>
      <w:outlineLvl w:val="3"/>
    </w:pPr>
    <w:rPr>
      <w:rFonts w:ascii="Times New Roman" w:hAnsi="Times New Roman"/>
      <w:b/>
      <w:sz w:val="24"/>
    </w:rPr>
  </w:style>
  <w:style w:type="paragraph" w:styleId="50">
    <w:name w:val="heading 5"/>
    <w:next w:val="a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Textbody">
    <w:name w:val="Text body"/>
    <w:qFormat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Marginalia">
    <w:name w:val="Marginalia"/>
    <w:qFormat/>
    <w:rPr>
      <w:sz w:val="20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right">
    <w:name w:val="right"/>
    <w:link w:val="right1"/>
    <w:qFormat/>
    <w:rPr>
      <w:rFonts w:ascii="Times New Roman" w:hAnsi="Times New Roman"/>
      <w:sz w:val="24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Footer1">
    <w:name w:val="Footer1"/>
    <w:qFormat/>
  </w:style>
  <w:style w:type="character" w:styleId="a4">
    <w:name w:val="Strong"/>
    <w:basedOn w:val="a1"/>
    <w:qFormat/>
    <w:rPr>
      <w:b/>
    </w:rPr>
  </w:style>
  <w:style w:type="character" w:customStyle="1" w:styleId="Endnote">
    <w:name w:val="Endnote"/>
    <w:link w:val="Endnote1"/>
    <w:qFormat/>
    <w:rPr>
      <w:rFonts w:ascii="XO Thames" w:hAnsi="XO Thames"/>
      <w:sz w:val="22"/>
    </w:rPr>
  </w:style>
  <w:style w:type="character" w:customStyle="1" w:styleId="Heading31">
    <w:name w:val="Heading 31"/>
    <w:qFormat/>
    <w:rPr>
      <w:rFonts w:ascii="Times New Roman" w:hAnsi="Times New Roman"/>
      <w:b/>
      <w:sz w:val="27"/>
    </w:rPr>
  </w:style>
  <w:style w:type="character" w:styleId="a5">
    <w:name w:val="Emphasis"/>
    <w:basedOn w:val="a1"/>
    <w:qFormat/>
    <w:rPr>
      <w:i/>
    </w:rPr>
  </w:style>
  <w:style w:type="character" w:customStyle="1" w:styleId="ConsPlusNormal">
    <w:name w:val="ConsPlusNormal"/>
    <w:link w:val="ConsPlusNormal1"/>
    <w:qFormat/>
    <w:rPr>
      <w:rFonts w:ascii="Arial" w:hAnsi="Arial"/>
      <w:color w:val="000000"/>
      <w:sz w:val="20"/>
    </w:rPr>
  </w:style>
  <w:style w:type="character" w:customStyle="1" w:styleId="10">
    <w:name w:val="Текст выноски1"/>
    <w:link w:val="BalloonText1"/>
    <w:qFormat/>
    <w:rPr>
      <w:rFonts w:ascii="Tahoma" w:hAnsi="Tahoma"/>
      <w:sz w:val="16"/>
    </w:rPr>
  </w:style>
  <w:style w:type="character" w:customStyle="1" w:styleId="21">
    <w:name w:val="Список 21"/>
    <w:qFormat/>
    <w:rPr>
      <w:rFonts w:ascii="Times New Roman" w:hAnsi="Times New Roman"/>
      <w:sz w:val="24"/>
    </w:rPr>
  </w:style>
  <w:style w:type="character" w:customStyle="1" w:styleId="List1">
    <w:name w:val="List1"/>
    <w:basedOn w:val="Textbody"/>
    <w:qFormat/>
  </w:style>
  <w:style w:type="character" w:customStyle="1" w:styleId="error">
    <w:name w:val="error"/>
    <w:basedOn w:val="a1"/>
    <w:link w:val="error1"/>
    <w:qFormat/>
  </w:style>
  <w:style w:type="character" w:styleId="a6">
    <w:name w:val="FollowedHyperlink"/>
    <w:basedOn w:val="a1"/>
    <w:rPr>
      <w:color w:val="0000FF"/>
      <w:u w:val="single"/>
    </w:rPr>
  </w:style>
  <w:style w:type="character" w:customStyle="1" w:styleId="messagemeta">
    <w:name w:val="messagemeta"/>
    <w:basedOn w:val="a1"/>
    <w:link w:val="messagemeta1"/>
    <w:qFormat/>
  </w:style>
  <w:style w:type="character" w:customStyle="1" w:styleId="11">
    <w:name w:val="Обычный (веб)1"/>
    <w:link w:val="NormalWeb1"/>
    <w:qFormat/>
    <w:rPr>
      <w:rFonts w:ascii="Times New Roman" w:hAnsi="Times New Roman"/>
      <w:sz w:val="24"/>
    </w:rPr>
  </w:style>
  <w:style w:type="character" w:customStyle="1" w:styleId="Header1">
    <w:name w:val="Header1"/>
    <w:qFormat/>
  </w:style>
  <w:style w:type="character" w:customStyle="1" w:styleId="51">
    <w:name w:val="Список 51"/>
    <w:qFormat/>
    <w:rPr>
      <w:rFonts w:ascii="Times New Roman" w:hAnsi="Times New Roman"/>
      <w:sz w:val="24"/>
    </w:rPr>
  </w:style>
  <w:style w:type="character" w:customStyle="1" w:styleId="centerbold">
    <w:name w:val="centerbold"/>
    <w:link w:val="centerbold1"/>
    <w:qFormat/>
    <w:rPr>
      <w:rFonts w:ascii="Times New Roman" w:hAnsi="Times New Roman"/>
      <w:b/>
      <w:sz w:val="24"/>
    </w:rPr>
  </w:style>
  <w:style w:type="character" w:customStyle="1" w:styleId="12">
    <w:name w:val="Заголовок1"/>
    <w:link w:val="110"/>
    <w:qFormat/>
    <w:rPr>
      <w:rFonts w:ascii="Liberation Sans" w:hAnsi="Liberation Sans"/>
      <w:sz w:val="28"/>
    </w:rPr>
  </w:style>
  <w:style w:type="character" w:customStyle="1" w:styleId="HTML1">
    <w:name w:val="Стандартный HTML1"/>
    <w:link w:val="HTMLPreformatted1"/>
    <w:qFormat/>
    <w:rPr>
      <w:rFonts w:ascii="Courier New" w:hAnsi="Courier New"/>
      <w:sz w:val="20"/>
    </w:rPr>
  </w:style>
  <w:style w:type="character" w:customStyle="1" w:styleId="required">
    <w:name w:val="required"/>
    <w:link w:val="required1"/>
    <w:qFormat/>
    <w:rPr>
      <w:rFonts w:ascii="Times New Roman" w:hAnsi="Times New Roman"/>
      <w:sz w:val="24"/>
    </w:rPr>
  </w:style>
  <w:style w:type="character" w:customStyle="1" w:styleId="22">
    <w:name w:val="Рецензия2"/>
    <w:link w:val="210"/>
    <w:qFormat/>
    <w:rPr>
      <w:rFonts w:ascii="Calibri" w:hAnsi="Calibri"/>
      <w:color w:val="000000"/>
      <w:sz w:val="22"/>
    </w:rPr>
  </w:style>
  <w:style w:type="character" w:customStyle="1" w:styleId="user">
    <w:name w:val="Символ сноски (user)"/>
    <w:basedOn w:val="a1"/>
    <w:link w:val="13"/>
    <w:qFormat/>
    <w:rPr>
      <w:vertAlign w:val="superscript"/>
    </w:rPr>
  </w:style>
  <w:style w:type="character" w:customStyle="1" w:styleId="message-time">
    <w:name w:val="message-time"/>
    <w:basedOn w:val="a1"/>
    <w:link w:val="message-time1"/>
    <w:qFormat/>
  </w:style>
  <w:style w:type="character" w:customStyle="1" w:styleId="a7">
    <w:name w:val="Верхний колонтитул Знак"/>
    <w:basedOn w:val="a1"/>
    <w:link w:val="14"/>
    <w:qFormat/>
    <w:rPr>
      <w:rFonts w:ascii="Calibri" w:hAnsi="Calibri"/>
    </w:rPr>
  </w:style>
  <w:style w:type="character" w:customStyle="1" w:styleId="15">
    <w:name w:val="Абзац списка1"/>
    <w:link w:val="ListParagraph1"/>
    <w:qFormat/>
  </w:style>
  <w:style w:type="character" w:customStyle="1" w:styleId="a8">
    <w:name w:val="Текст сноски Знак"/>
    <w:basedOn w:val="a1"/>
    <w:link w:val="16"/>
    <w:qFormat/>
    <w:rPr>
      <w:rFonts w:ascii="Times New Roman" w:hAnsi="Times New Roman"/>
      <w:sz w:val="20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a9">
    <w:name w:val="Колонтитулы"/>
    <w:link w:val="17"/>
    <w:qFormat/>
  </w:style>
  <w:style w:type="character" w:customStyle="1" w:styleId="31">
    <w:name w:val="Заголовок 3 Знак"/>
    <w:basedOn w:val="a1"/>
    <w:link w:val="310"/>
    <w:qFormat/>
    <w:rPr>
      <w:rFonts w:ascii="Times New Roman" w:hAnsi="Times New Roman"/>
      <w:b/>
      <w:sz w:val="27"/>
    </w:rPr>
  </w:style>
  <w:style w:type="character" w:customStyle="1" w:styleId="23">
    <w:name w:val="Заголовок 2 Знак"/>
    <w:basedOn w:val="a1"/>
    <w:link w:val="211"/>
    <w:qFormat/>
    <w:rPr>
      <w:rFonts w:ascii="Times New Roman" w:hAnsi="Times New Roman"/>
      <w:b/>
      <w:sz w:val="36"/>
    </w:rPr>
  </w:style>
  <w:style w:type="character" w:customStyle="1" w:styleId="List10">
    <w:name w:val="List 1"/>
    <w:qFormat/>
    <w:rPr>
      <w:rFonts w:ascii="Times New Roman" w:hAnsi="Times New Roman"/>
      <w:sz w:val="24"/>
    </w:rPr>
  </w:style>
  <w:style w:type="character" w:customStyle="1" w:styleId="18">
    <w:name w:val="Тема примечания1"/>
    <w:basedOn w:val="Marginalia"/>
    <w:link w:val="annotationsubject1"/>
    <w:qFormat/>
    <w:rPr>
      <w:b/>
      <w:sz w:val="20"/>
    </w:rPr>
  </w:style>
  <w:style w:type="character" w:customStyle="1" w:styleId="insertion">
    <w:name w:val="insertion"/>
    <w:link w:val="insertion1"/>
    <w:qFormat/>
    <w:rPr>
      <w:rFonts w:ascii="Times New Roman" w:hAnsi="Times New Roman"/>
      <w:color w:val="006600"/>
      <w:sz w:val="24"/>
    </w:rPr>
  </w:style>
  <w:style w:type="character" w:customStyle="1" w:styleId="Heading51">
    <w:name w:val="Heading 51"/>
    <w:qFormat/>
    <w:rPr>
      <w:rFonts w:ascii="XO Thames" w:hAnsi="XO Thames"/>
      <w:b/>
      <w:sz w:val="22"/>
    </w:rPr>
  </w:style>
  <w:style w:type="character" w:customStyle="1" w:styleId="Caption1">
    <w:name w:val="Caption1"/>
    <w:qFormat/>
    <w:rPr>
      <w:i/>
      <w:sz w:val="24"/>
    </w:rPr>
  </w:style>
  <w:style w:type="character" w:customStyle="1" w:styleId="deletion">
    <w:name w:val="deletion"/>
    <w:link w:val="deletion1"/>
    <w:qFormat/>
    <w:rPr>
      <w:rFonts w:ascii="Times New Roman" w:hAnsi="Times New Roman"/>
      <w:color w:val="FF0000"/>
      <w:sz w:val="24"/>
    </w:rPr>
  </w:style>
  <w:style w:type="character" w:customStyle="1" w:styleId="aa">
    <w:name w:val="Текст примечания Знак"/>
    <w:basedOn w:val="a1"/>
    <w:link w:val="19"/>
    <w:qFormat/>
    <w:rPr>
      <w:rFonts w:ascii="Calibri" w:hAnsi="Calibri"/>
      <w:sz w:val="20"/>
    </w:rPr>
  </w:style>
  <w:style w:type="character" w:customStyle="1" w:styleId="Heading11">
    <w:name w:val="Heading 11"/>
    <w:qFormat/>
    <w:rPr>
      <w:rFonts w:asciiTheme="majorHAnsi" w:hAnsiTheme="majorHAnsi"/>
      <w:color w:val="365F91" w:themeColor="accent1" w:themeShade="BF"/>
      <w:sz w:val="32"/>
    </w:rPr>
  </w:style>
  <w:style w:type="character" w:customStyle="1" w:styleId="1a">
    <w:name w:val="Заголовок 1 Знак"/>
    <w:basedOn w:val="a1"/>
    <w:link w:val="111"/>
    <w:qFormat/>
    <w:rPr>
      <w:rFonts w:asciiTheme="majorHAnsi" w:hAnsiTheme="majorHAnsi"/>
      <w:color w:val="365F91" w:themeColor="accent1" w:themeShade="BF"/>
      <w:sz w:val="32"/>
    </w:rPr>
  </w:style>
  <w:style w:type="character" w:customStyle="1" w:styleId="1b">
    <w:name w:val="Указатель1"/>
    <w:link w:val="112"/>
    <w:qFormat/>
  </w:style>
  <w:style w:type="character" w:styleId="ab">
    <w:name w:val="Hyperlink"/>
    <w:basedOn w:val="a1"/>
    <w:rPr>
      <w:color w:val="0000FF" w:themeColor="hyperlink"/>
      <w:u w:val="single"/>
    </w:rPr>
  </w:style>
  <w:style w:type="character" w:customStyle="1" w:styleId="Footnote">
    <w:name w:val="Footnote"/>
    <w:link w:val="Footnote1"/>
    <w:qFormat/>
    <w:rPr>
      <w:rFonts w:ascii="Times New Roman" w:hAnsi="Times New Roman"/>
      <w:sz w:val="20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8"/>
    </w:rPr>
  </w:style>
  <w:style w:type="character" w:customStyle="1" w:styleId="ac">
    <w:name w:val="Символ сноски"/>
    <w:qFormat/>
    <w:rPr>
      <w:vertAlign w:val="superscript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41">
    <w:name w:val="Список 41"/>
    <w:qFormat/>
    <w:rPr>
      <w:rFonts w:ascii="Times New Roman" w:hAnsi="Times New Roman"/>
      <w:sz w:val="24"/>
    </w:rPr>
  </w:style>
  <w:style w:type="character" w:customStyle="1" w:styleId="42">
    <w:name w:val="Заголовок 4 Знак"/>
    <w:basedOn w:val="a1"/>
    <w:link w:val="410"/>
    <w:qFormat/>
    <w:rPr>
      <w:rFonts w:ascii="Times New Roman" w:hAnsi="Times New Roman"/>
      <w:b/>
      <w:sz w:val="24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enter">
    <w:name w:val="center"/>
    <w:link w:val="center1"/>
    <w:qFormat/>
    <w:rPr>
      <w:rFonts w:ascii="Times New Roman" w:hAnsi="Times New Roman"/>
      <w:sz w:val="24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styleId="ad">
    <w:name w:val="line number"/>
  </w:style>
  <w:style w:type="character" w:styleId="ae">
    <w:name w:val="footnote reference"/>
    <w:rPr>
      <w:vertAlign w:val="superscript"/>
    </w:rPr>
  </w:style>
  <w:style w:type="character" w:styleId="af">
    <w:name w:val="annotation reference"/>
    <w:basedOn w:val="a1"/>
    <w:link w:val="annotationreference1"/>
    <w:qFormat/>
    <w:rPr>
      <w:sz w:val="16"/>
    </w:rPr>
  </w:style>
  <w:style w:type="character" w:customStyle="1" w:styleId="1c">
    <w:name w:val="Рецензия1"/>
    <w:link w:val="113"/>
    <w:qFormat/>
    <w:rPr>
      <w:rFonts w:ascii="Calibri" w:hAnsi="Calibri"/>
      <w:color w:val="000000"/>
      <w:sz w:val="22"/>
    </w:rPr>
  </w:style>
  <w:style w:type="character" w:customStyle="1" w:styleId="Subtitle1">
    <w:name w:val="Subtitle1"/>
    <w:qFormat/>
    <w:rPr>
      <w:rFonts w:ascii="XO Thames" w:hAnsi="XO Thames"/>
      <w:i/>
      <w:sz w:val="24"/>
    </w:rPr>
  </w:style>
  <w:style w:type="character" w:customStyle="1" w:styleId="computable">
    <w:name w:val="computable"/>
    <w:link w:val="computable1"/>
    <w:qFormat/>
    <w:rPr>
      <w:rFonts w:ascii="Times New Roman" w:hAnsi="Times New Roman"/>
      <w:sz w:val="24"/>
    </w:rPr>
  </w:style>
  <w:style w:type="character" w:customStyle="1" w:styleId="af0">
    <w:name w:val="Нижний колонтитул Знак"/>
    <w:basedOn w:val="a1"/>
    <w:link w:val="1d"/>
    <w:qFormat/>
    <w:rPr>
      <w:rFonts w:ascii="Calibri" w:hAnsi="Calibri"/>
    </w:rPr>
  </w:style>
  <w:style w:type="character" w:customStyle="1" w:styleId="Title1">
    <w:name w:val="Title1"/>
    <w:qFormat/>
    <w:rPr>
      <w:rFonts w:ascii="XO Thames" w:hAnsi="XO Thames"/>
      <w:b/>
      <w:caps/>
      <w:sz w:val="40"/>
    </w:rPr>
  </w:style>
  <w:style w:type="character" w:customStyle="1" w:styleId="Heading41">
    <w:name w:val="Heading 41"/>
    <w:qFormat/>
    <w:rPr>
      <w:rFonts w:ascii="Times New Roman" w:hAnsi="Times New Roman"/>
      <w:b/>
      <w:sz w:val="24"/>
    </w:rPr>
  </w:style>
  <w:style w:type="character" w:customStyle="1" w:styleId="Heading21">
    <w:name w:val="Heading 21"/>
    <w:qFormat/>
    <w:rPr>
      <w:rFonts w:ascii="Times New Roman" w:hAnsi="Times New Roman"/>
      <w:b/>
      <w:sz w:val="36"/>
    </w:rPr>
  </w:style>
  <w:style w:type="character" w:customStyle="1" w:styleId="311">
    <w:name w:val="Список 31"/>
    <w:qFormat/>
    <w:rPr>
      <w:rFonts w:ascii="Times New Roman" w:hAnsi="Times New Roman"/>
      <w:sz w:val="24"/>
    </w:rPr>
  </w:style>
  <w:style w:type="paragraph" w:customStyle="1" w:styleId="1e">
    <w:name w:val="Заголовок1"/>
    <w:basedOn w:val="a0"/>
    <w:next w:val="af1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f1">
    <w:name w:val="Body Text"/>
    <w:basedOn w:val="a0"/>
    <w:pPr>
      <w:spacing w:after="140"/>
    </w:pPr>
  </w:style>
  <w:style w:type="paragraph" w:styleId="af2">
    <w:name w:val="List"/>
    <w:basedOn w:val="af1"/>
  </w:style>
  <w:style w:type="paragraph" w:styleId="af3">
    <w:name w:val="caption"/>
    <w:basedOn w:val="a0"/>
    <w:qFormat/>
    <w:pPr>
      <w:spacing w:before="120" w:after="120"/>
    </w:pPr>
    <w:rPr>
      <w:i/>
      <w:sz w:val="24"/>
    </w:rPr>
  </w:style>
  <w:style w:type="paragraph" w:customStyle="1" w:styleId="1f">
    <w:name w:val="Указатель1"/>
    <w:basedOn w:val="a0"/>
    <w:qFormat/>
  </w:style>
  <w:style w:type="paragraph" w:customStyle="1" w:styleId="110">
    <w:name w:val="Заголовок11"/>
    <w:basedOn w:val="a0"/>
    <w:next w:val="af1"/>
    <w:link w:val="12"/>
    <w:qFormat/>
    <w:pPr>
      <w:keepNext/>
      <w:spacing w:before="240" w:after="120"/>
    </w:pPr>
    <w:rPr>
      <w:rFonts w:ascii="Liberation Sans" w:hAnsi="Liberation Sans"/>
      <w:sz w:val="28"/>
    </w:rPr>
  </w:style>
  <w:style w:type="paragraph" w:customStyle="1" w:styleId="112">
    <w:name w:val="Указатель11"/>
    <w:basedOn w:val="a0"/>
    <w:link w:val="1b"/>
    <w:qFormat/>
  </w:style>
  <w:style w:type="paragraph" w:styleId="24">
    <w:name w:val="toc 2"/>
    <w:next w:val="a0"/>
    <w:uiPriority w:val="39"/>
    <w:pPr>
      <w:ind w:left="200"/>
    </w:pPr>
    <w:rPr>
      <w:rFonts w:ascii="XO Thames" w:hAnsi="XO Thames"/>
      <w:sz w:val="28"/>
    </w:rPr>
  </w:style>
  <w:style w:type="paragraph" w:styleId="43">
    <w:name w:val="toc 4"/>
    <w:next w:val="a0"/>
    <w:uiPriority w:val="39"/>
    <w:pPr>
      <w:ind w:left="600"/>
    </w:pPr>
    <w:rPr>
      <w:rFonts w:ascii="XO Thames" w:hAnsi="XO Thames"/>
      <w:sz w:val="28"/>
    </w:rPr>
  </w:style>
  <w:style w:type="paragraph" w:styleId="af4">
    <w:name w:val="annotation text"/>
    <w:basedOn w:val="a0"/>
    <w:pPr>
      <w:spacing w:line="240" w:lineRule="auto"/>
    </w:pPr>
    <w:rPr>
      <w:sz w:val="20"/>
    </w:rPr>
  </w:style>
  <w:style w:type="paragraph" w:styleId="6">
    <w:name w:val="toc 6"/>
    <w:next w:val="a0"/>
    <w:uiPriority w:val="39"/>
    <w:pPr>
      <w:ind w:left="1000"/>
    </w:pPr>
    <w:rPr>
      <w:rFonts w:ascii="XO Thames" w:hAnsi="XO Thames"/>
      <w:sz w:val="28"/>
    </w:rPr>
  </w:style>
  <w:style w:type="paragraph" w:customStyle="1" w:styleId="right1">
    <w:name w:val="right1"/>
    <w:basedOn w:val="a0"/>
    <w:link w:val="right"/>
    <w:qFormat/>
    <w:pPr>
      <w:spacing w:beforeAutospacing="1" w:afterAutospacing="1" w:line="240" w:lineRule="auto"/>
      <w:ind w:firstLine="709"/>
    </w:pPr>
    <w:rPr>
      <w:rFonts w:ascii="Times New Roman" w:hAnsi="Times New Roman"/>
      <w:sz w:val="24"/>
    </w:rPr>
  </w:style>
  <w:style w:type="paragraph" w:styleId="7">
    <w:name w:val="toc 7"/>
    <w:next w:val="a0"/>
    <w:uiPriority w:val="39"/>
    <w:pPr>
      <w:ind w:left="1200"/>
    </w:pPr>
    <w:rPr>
      <w:rFonts w:ascii="XO Thames" w:hAnsi="XO Thames"/>
      <w:sz w:val="28"/>
    </w:rPr>
  </w:style>
  <w:style w:type="paragraph" w:customStyle="1" w:styleId="17">
    <w:name w:val="Колонтитулы1"/>
    <w:basedOn w:val="a0"/>
    <w:link w:val="a9"/>
    <w:qFormat/>
  </w:style>
  <w:style w:type="paragraph" w:customStyle="1" w:styleId="25">
    <w:name w:val="Колонтитулы2"/>
    <w:basedOn w:val="a0"/>
    <w:qFormat/>
  </w:style>
  <w:style w:type="paragraph" w:styleId="af5">
    <w:name w:val="footer"/>
    <w:basedOn w:val="a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trongEmphasis">
    <w:name w:val="Strong Emphasis"/>
    <w:basedOn w:val="DefaultParagraphFont1"/>
    <w:qFormat/>
    <w:rPr>
      <w:b/>
    </w:rPr>
  </w:style>
  <w:style w:type="paragraph" w:customStyle="1" w:styleId="Endnote1">
    <w:name w:val="Endnote1"/>
    <w:link w:val="Endnote"/>
    <w:qFormat/>
    <w:pPr>
      <w:ind w:firstLine="851"/>
      <w:jc w:val="both"/>
    </w:pPr>
    <w:rPr>
      <w:rFonts w:ascii="XO Thames" w:hAnsi="XO Thames"/>
      <w:sz w:val="22"/>
    </w:rPr>
  </w:style>
  <w:style w:type="paragraph" w:customStyle="1" w:styleId="Emphasis1">
    <w:name w:val="Emphasis1"/>
    <w:basedOn w:val="DefaultParagraphFont1"/>
    <w:qFormat/>
    <w:rPr>
      <w:i/>
    </w:rPr>
  </w:style>
  <w:style w:type="paragraph" w:customStyle="1" w:styleId="ConsPlusNormal1">
    <w:name w:val="ConsPlusNormal1"/>
    <w:link w:val="ConsPlusNormal"/>
    <w:qFormat/>
    <w:pPr>
      <w:widowControl w:val="0"/>
    </w:pPr>
    <w:rPr>
      <w:rFonts w:ascii="Arial" w:hAnsi="Arial"/>
    </w:rPr>
  </w:style>
  <w:style w:type="paragraph" w:customStyle="1" w:styleId="BalloonText1">
    <w:name w:val="Balloon Text1"/>
    <w:basedOn w:val="a0"/>
    <w:link w:val="10"/>
    <w:qFormat/>
    <w:pPr>
      <w:spacing w:after="0" w:line="240" w:lineRule="auto"/>
    </w:pPr>
    <w:rPr>
      <w:rFonts w:ascii="Tahoma" w:hAnsi="Tahoma"/>
      <w:sz w:val="16"/>
    </w:rPr>
  </w:style>
  <w:style w:type="paragraph" w:styleId="2">
    <w:name w:val="List Bullet 2"/>
    <w:basedOn w:val="a0"/>
    <w:pPr>
      <w:numPr>
        <w:numId w:val="2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error1">
    <w:name w:val="error1"/>
    <w:basedOn w:val="DefaultParagraphFont1"/>
    <w:link w:val="error"/>
    <w:qFormat/>
  </w:style>
  <w:style w:type="paragraph" w:customStyle="1" w:styleId="VisitedInternetLink">
    <w:name w:val="Visited Internet Link"/>
    <w:basedOn w:val="DefaultParagraphFont1"/>
    <w:qFormat/>
    <w:rPr>
      <w:color w:val="0000FF"/>
      <w:u w:val="single"/>
    </w:rPr>
  </w:style>
  <w:style w:type="paragraph" w:customStyle="1" w:styleId="messagemeta1">
    <w:name w:val="messagemeta1"/>
    <w:basedOn w:val="DefaultParagraphFont1"/>
    <w:link w:val="messagemeta"/>
    <w:qFormat/>
  </w:style>
  <w:style w:type="paragraph" w:customStyle="1" w:styleId="NormalWeb1">
    <w:name w:val="Normal (Web)1"/>
    <w:basedOn w:val="a0"/>
    <w:link w:val="11"/>
    <w:qFormat/>
    <w:pPr>
      <w:spacing w:beforeAutospacing="1" w:afterAutospacing="1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f6">
    <w:name w:val="header"/>
    <w:basedOn w:val="a0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List Bullet 5"/>
    <w:basedOn w:val="a0"/>
    <w:pPr>
      <w:numPr>
        <w:numId w:val="3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centerbold1">
    <w:name w:val="centerbold1"/>
    <w:basedOn w:val="a0"/>
    <w:link w:val="centerbold"/>
    <w:qFormat/>
    <w:pPr>
      <w:spacing w:after="0" w:line="240" w:lineRule="auto"/>
      <w:ind w:firstLine="709"/>
      <w:jc w:val="center"/>
    </w:pPr>
    <w:rPr>
      <w:rFonts w:ascii="Times New Roman" w:hAnsi="Times New Roman"/>
      <w:b/>
      <w:sz w:val="24"/>
    </w:rPr>
  </w:style>
  <w:style w:type="paragraph" w:customStyle="1" w:styleId="HTMLPreformatted1">
    <w:name w:val="HTML Preformatted1"/>
    <w:basedOn w:val="a0"/>
    <w:link w:val="HT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paragraph" w:customStyle="1" w:styleId="required1">
    <w:name w:val="required1"/>
    <w:basedOn w:val="a0"/>
    <w:link w:val="required"/>
    <w:qFormat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210">
    <w:name w:val="Рецензия21"/>
    <w:link w:val="22"/>
    <w:qFormat/>
    <w:rPr>
      <w:rFonts w:ascii="Calibri" w:hAnsi="Calibri"/>
      <w:sz w:val="22"/>
    </w:rPr>
  </w:style>
  <w:style w:type="paragraph" w:customStyle="1" w:styleId="13">
    <w:name w:val="Символ сноски1"/>
    <w:basedOn w:val="DefaultParagraphFont1"/>
    <w:link w:val="user"/>
    <w:qFormat/>
    <w:rPr>
      <w:vertAlign w:val="superscript"/>
    </w:rPr>
  </w:style>
  <w:style w:type="paragraph" w:customStyle="1" w:styleId="message-time1">
    <w:name w:val="message-time1"/>
    <w:basedOn w:val="DefaultParagraphFont1"/>
    <w:link w:val="message-time"/>
    <w:qFormat/>
  </w:style>
  <w:style w:type="paragraph" w:customStyle="1" w:styleId="14">
    <w:name w:val="Верхний колонтитул Знак1"/>
    <w:basedOn w:val="DefaultParagraphFont1"/>
    <w:link w:val="a7"/>
    <w:qFormat/>
    <w:rPr>
      <w:rFonts w:ascii="Calibri" w:hAnsi="Calibri"/>
    </w:rPr>
  </w:style>
  <w:style w:type="paragraph" w:customStyle="1" w:styleId="ListParagraph1">
    <w:name w:val="List Paragraph1"/>
    <w:basedOn w:val="a0"/>
    <w:link w:val="15"/>
    <w:qFormat/>
    <w:pPr>
      <w:contextualSpacing/>
    </w:pPr>
  </w:style>
  <w:style w:type="paragraph" w:customStyle="1" w:styleId="16">
    <w:name w:val="Текст сноски Знак1"/>
    <w:basedOn w:val="DefaultParagraphFont1"/>
    <w:link w:val="a8"/>
    <w:qFormat/>
  </w:style>
  <w:style w:type="paragraph" w:styleId="32">
    <w:name w:val="toc 3"/>
    <w:next w:val="a0"/>
    <w:uiPriority w:val="39"/>
    <w:pPr>
      <w:ind w:left="400"/>
    </w:pPr>
    <w:rPr>
      <w:rFonts w:ascii="XO Thames" w:hAnsi="XO Thames"/>
      <w:sz w:val="28"/>
    </w:rPr>
  </w:style>
  <w:style w:type="paragraph" w:customStyle="1" w:styleId="310">
    <w:name w:val="Заголовок 3 Знак1"/>
    <w:basedOn w:val="DefaultParagraphFont1"/>
    <w:link w:val="31"/>
    <w:qFormat/>
    <w:rPr>
      <w:b/>
      <w:sz w:val="27"/>
    </w:rPr>
  </w:style>
  <w:style w:type="paragraph" w:customStyle="1" w:styleId="211">
    <w:name w:val="Заголовок 2 Знак1"/>
    <w:basedOn w:val="DefaultParagraphFont1"/>
    <w:link w:val="23"/>
    <w:qFormat/>
    <w:rPr>
      <w:b/>
      <w:sz w:val="36"/>
    </w:rPr>
  </w:style>
  <w:style w:type="paragraph" w:styleId="a">
    <w:name w:val="List Bullet"/>
    <w:basedOn w:val="a0"/>
    <w:pPr>
      <w:numPr>
        <w:numId w:val="4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annotationsubject1">
    <w:name w:val="annotation subject1"/>
    <w:basedOn w:val="af4"/>
    <w:next w:val="af4"/>
    <w:link w:val="18"/>
    <w:qFormat/>
    <w:rPr>
      <w:b/>
    </w:rPr>
  </w:style>
  <w:style w:type="paragraph" w:customStyle="1" w:styleId="insertion1">
    <w:name w:val="insertion1"/>
    <w:basedOn w:val="a0"/>
    <w:link w:val="insertion"/>
    <w:qFormat/>
    <w:pPr>
      <w:spacing w:beforeAutospacing="1" w:afterAutospacing="1" w:line="240" w:lineRule="auto"/>
      <w:ind w:firstLine="709"/>
      <w:jc w:val="both"/>
    </w:pPr>
    <w:rPr>
      <w:rFonts w:ascii="Times New Roman" w:hAnsi="Times New Roman"/>
      <w:color w:val="006600"/>
      <w:sz w:val="24"/>
    </w:rPr>
  </w:style>
  <w:style w:type="paragraph" w:customStyle="1" w:styleId="deletion1">
    <w:name w:val="deletion1"/>
    <w:basedOn w:val="a0"/>
    <w:link w:val="deletion"/>
    <w:qFormat/>
    <w:pPr>
      <w:spacing w:beforeAutospacing="1" w:afterAutospacing="1" w:line="240" w:lineRule="auto"/>
      <w:ind w:firstLine="709"/>
      <w:jc w:val="both"/>
    </w:pPr>
    <w:rPr>
      <w:rFonts w:ascii="Times New Roman" w:hAnsi="Times New Roman"/>
      <w:color w:val="FF0000"/>
      <w:sz w:val="24"/>
    </w:rPr>
  </w:style>
  <w:style w:type="paragraph" w:customStyle="1" w:styleId="19">
    <w:name w:val="Текст примечания Знак1"/>
    <w:basedOn w:val="DefaultParagraphFont1"/>
    <w:link w:val="aa"/>
    <w:qFormat/>
    <w:rPr>
      <w:rFonts w:ascii="Calibri" w:hAnsi="Calibri"/>
    </w:rPr>
  </w:style>
  <w:style w:type="paragraph" w:customStyle="1" w:styleId="111">
    <w:name w:val="Заголовок 1 Знак1"/>
    <w:basedOn w:val="DefaultParagraphFont1"/>
    <w:link w:val="1a"/>
    <w:qFormat/>
    <w:rPr>
      <w:rFonts w:asciiTheme="majorHAnsi" w:hAnsiTheme="majorHAnsi"/>
      <w:color w:val="365F91" w:themeColor="accent1" w:themeShade="BF"/>
      <w:sz w:val="32"/>
    </w:rPr>
  </w:style>
  <w:style w:type="paragraph" w:customStyle="1" w:styleId="Internetlink">
    <w:name w:val="Internet link"/>
    <w:basedOn w:val="DefaultParagraphFont1"/>
    <w:qFormat/>
    <w:rPr>
      <w:color w:val="0000FF" w:themeColor="hyperlink"/>
      <w:u w:val="single"/>
    </w:rPr>
  </w:style>
  <w:style w:type="paragraph" w:customStyle="1" w:styleId="Footnote1">
    <w:name w:val="Footnote1"/>
    <w:basedOn w:val="a0"/>
    <w:link w:val="Footnote"/>
    <w:qFormat/>
    <w:pPr>
      <w:spacing w:after="0" w:line="240" w:lineRule="auto"/>
    </w:pPr>
    <w:rPr>
      <w:rFonts w:ascii="Times New Roman" w:hAnsi="Times New Roman"/>
      <w:sz w:val="20"/>
    </w:rPr>
  </w:style>
  <w:style w:type="paragraph" w:styleId="1f0">
    <w:name w:val="toc 1"/>
    <w:next w:val="a0"/>
    <w:uiPriority w:val="39"/>
    <w:rPr>
      <w:rFonts w:ascii="XO Thames" w:hAnsi="XO Thames"/>
      <w:b/>
      <w:sz w:val="28"/>
    </w:rPr>
  </w:style>
  <w:style w:type="paragraph" w:styleId="9">
    <w:name w:val="toc 9"/>
    <w:next w:val="a0"/>
    <w:uiPriority w:val="39"/>
    <w:pPr>
      <w:ind w:left="1600"/>
    </w:pPr>
    <w:rPr>
      <w:rFonts w:ascii="XO Thames" w:hAnsi="XO Thames"/>
      <w:sz w:val="28"/>
    </w:rPr>
  </w:style>
  <w:style w:type="paragraph" w:styleId="4">
    <w:name w:val="List Bullet 4"/>
    <w:basedOn w:val="a0"/>
    <w:pPr>
      <w:numPr>
        <w:numId w:val="5"/>
      </w:numPr>
      <w:spacing w:after="0" w:line="240" w:lineRule="auto"/>
    </w:pPr>
    <w:rPr>
      <w:rFonts w:ascii="Times New Roman" w:hAnsi="Times New Roman"/>
      <w:sz w:val="24"/>
    </w:rPr>
  </w:style>
  <w:style w:type="paragraph" w:customStyle="1" w:styleId="410">
    <w:name w:val="Заголовок 4 Знак1"/>
    <w:basedOn w:val="DefaultParagraphFont1"/>
    <w:link w:val="42"/>
    <w:qFormat/>
    <w:rPr>
      <w:b/>
      <w:sz w:val="24"/>
    </w:rPr>
  </w:style>
  <w:style w:type="paragraph" w:styleId="8">
    <w:name w:val="toc 8"/>
    <w:next w:val="a0"/>
    <w:uiPriority w:val="39"/>
    <w:pPr>
      <w:ind w:left="1400"/>
    </w:pPr>
    <w:rPr>
      <w:rFonts w:ascii="XO Thames" w:hAnsi="XO Thames"/>
      <w:sz w:val="28"/>
    </w:rPr>
  </w:style>
  <w:style w:type="paragraph" w:customStyle="1" w:styleId="center1">
    <w:name w:val="center1"/>
    <w:basedOn w:val="a0"/>
    <w:link w:val="center"/>
    <w:qFormat/>
    <w:pPr>
      <w:spacing w:beforeAutospacing="1" w:afterAutospacing="1" w:line="240" w:lineRule="auto"/>
      <w:ind w:firstLine="709"/>
      <w:jc w:val="center"/>
    </w:pPr>
    <w:rPr>
      <w:rFonts w:ascii="Times New Roman" w:hAnsi="Times New Roman"/>
      <w:sz w:val="24"/>
    </w:rPr>
  </w:style>
  <w:style w:type="paragraph" w:styleId="52">
    <w:name w:val="toc 5"/>
    <w:next w:val="a0"/>
    <w:uiPriority w:val="39"/>
    <w:pPr>
      <w:ind w:left="800"/>
    </w:pPr>
    <w:rPr>
      <w:rFonts w:ascii="XO Thames" w:hAnsi="XO Thames"/>
      <w:sz w:val="28"/>
    </w:rPr>
  </w:style>
  <w:style w:type="paragraph" w:customStyle="1" w:styleId="Linenumbering">
    <w:name w:val="Line numbering"/>
    <w:qFormat/>
  </w:style>
  <w:style w:type="paragraph" w:customStyle="1" w:styleId="FootnoteSymbol">
    <w:name w:val="Footnote Symbol"/>
    <w:qFormat/>
    <w:rPr>
      <w:vertAlign w:val="superscript"/>
    </w:rPr>
  </w:style>
  <w:style w:type="paragraph" w:customStyle="1" w:styleId="DefaultParagraphFont1">
    <w:name w:val="Default Paragraph Font1"/>
    <w:qFormat/>
  </w:style>
  <w:style w:type="paragraph" w:customStyle="1" w:styleId="annotationreference1">
    <w:name w:val="annotation reference1"/>
    <w:basedOn w:val="DefaultParagraphFont1"/>
    <w:link w:val="af"/>
    <w:qFormat/>
    <w:rPr>
      <w:sz w:val="16"/>
    </w:rPr>
  </w:style>
  <w:style w:type="paragraph" w:customStyle="1" w:styleId="113">
    <w:name w:val="Рецензия11"/>
    <w:link w:val="1c"/>
    <w:qFormat/>
    <w:rPr>
      <w:rFonts w:ascii="Calibri" w:hAnsi="Calibri"/>
      <w:sz w:val="22"/>
    </w:rPr>
  </w:style>
  <w:style w:type="paragraph" w:styleId="af7">
    <w:name w:val="Subtitle"/>
    <w:next w:val="a0"/>
    <w:uiPriority w:val="11"/>
    <w:qFormat/>
    <w:pPr>
      <w:jc w:val="both"/>
    </w:pPr>
    <w:rPr>
      <w:rFonts w:ascii="XO Thames" w:hAnsi="XO Thames"/>
      <w:i/>
      <w:sz w:val="24"/>
    </w:rPr>
  </w:style>
  <w:style w:type="paragraph" w:customStyle="1" w:styleId="computable1">
    <w:name w:val="computable1"/>
    <w:basedOn w:val="a0"/>
    <w:link w:val="computable"/>
    <w:qFormat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1d">
    <w:name w:val="Нижний колонтитул Знак1"/>
    <w:basedOn w:val="DefaultParagraphFont1"/>
    <w:link w:val="af0"/>
    <w:qFormat/>
    <w:rPr>
      <w:rFonts w:ascii="Calibri" w:hAnsi="Calibri"/>
    </w:rPr>
  </w:style>
  <w:style w:type="paragraph" w:styleId="af8">
    <w:name w:val="Title"/>
    <w:next w:val="a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styleId="3">
    <w:name w:val="List Bullet 3"/>
    <w:basedOn w:val="a0"/>
    <w:pPr>
      <w:numPr>
        <w:numId w:val="6"/>
      </w:numPr>
      <w:spacing w:after="0" w:line="240" w:lineRule="auto"/>
    </w:pPr>
    <w:rPr>
      <w:rFonts w:ascii="Times New Roman" w:hAnsi="Times New Roman"/>
      <w:sz w:val="24"/>
    </w:rPr>
  </w:style>
  <w:style w:type="table" w:customStyle="1" w:styleId="26">
    <w:name w:val="Сетка таблицы2"/>
    <w:basedOn w:val="a2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1f1">
    <w:name w:val="Сетка таблицы1"/>
    <w:basedOn w:val="a2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styleId="af9">
    <w:name w:val="Table Grid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9525">
          <a:prstDash val="solid"/>
        </a:ln>
        <a:ln w="25400">
          <a:prstDash val="solid"/>
        </a:ln>
        <a:ln w="38100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6216</Words>
  <Characters>35435</Characters>
  <Application>Microsoft Office Word</Application>
  <DocSecurity>4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 Вячеслав Евгеньевич</dc:creator>
  <dc:description/>
  <cp:lastModifiedBy>Медведев Вячеслав Евгеньевич</cp:lastModifiedBy>
  <cp:revision>2</cp:revision>
  <dcterms:created xsi:type="dcterms:W3CDTF">2026-05-27T05:43:00Z</dcterms:created>
  <dcterms:modified xsi:type="dcterms:W3CDTF">2026-05-27T05:43:00Z</dcterms:modified>
  <dc:language>ru-RU</dc:language>
</cp:coreProperties>
</file>