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110"/>
        <w:shd w:val="clear" w:color="auto" w:fill="auto"/>
        <w:spacing w:lineRule="auto" w:line="240"/>
        <w:ind w:hanging="0" w:left="62"/>
        <w:jc w:val="center"/>
        <w:rPr>
          <w:color w:val="000000"/>
        </w:rPr>
      </w:pPr>
      <w:r>
        <w:rPr/>
        <w:t xml:space="preserve"> </w:t>
      </w:r>
    </w:p>
    <w:p>
      <w:pPr>
        <w:pStyle w:val="110"/>
        <w:shd w:val="clear" w:color="auto" w:fill="auto"/>
        <w:spacing w:lineRule="auto" w:line="240"/>
        <w:ind w:hanging="0" w:left="62"/>
        <w:jc w:val="center"/>
        <w:rPr>
          <w:color w:val="000000"/>
        </w:rPr>
      </w:pPr>
      <w:r>
        <w:rPr/>
        <w:t xml:space="preserve">ОКПД 2: 86.21.10 Оказание услуг по проведению </w:t>
      </w:r>
      <w:r>
        <w:rPr>
          <w:color w:val="000000"/>
        </w:rPr>
        <w:t xml:space="preserve">предрейсовых и послерейсовых осмотров  работников Куршавской группы, Сенгилеевской группы, Зеленчукского ПУ </w:t>
      </w:r>
      <w:r>
        <w:rPr/>
        <w:t>Кубанского филиала.</w:t>
      </w:r>
    </w:p>
    <w:p>
      <w:pPr>
        <w:pStyle w:val="110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0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sectPr>
          <w:headerReference w:type="default" r:id="rId2"/>
          <w:type w:val="nextPage"/>
          <w:pgSz w:w="11906" w:h="16838"/>
          <w:pgMar w:left="851" w:right="1133" w:gutter="0" w:header="680" w:top="737" w:footer="0" w:bottom="284"/>
          <w:pgNumType w:fmt="decimal"/>
          <w:formProt w:val="false"/>
          <w:textDirection w:val="lrTb"/>
          <w:docGrid w:type="default" w:linePitch="381" w:charSpace="0"/>
        </w:sectPr>
        <w:pStyle w:val="110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/>
        <w:t xml:space="preserve">                                                </w:t>
      </w:r>
    </w:p>
    <w:p>
      <w:pPr>
        <w:pStyle w:val="Heading1"/>
        <w:numPr>
          <w:ilvl w:val="0"/>
          <w:numId w:val="0"/>
        </w:numPr>
        <w:ind w:hanging="0" w:left="142"/>
        <w:jc w:val="center"/>
        <w:rPr>
          <w:b w:val="false"/>
        </w:rPr>
      </w:pPr>
      <w:bookmarkStart w:id="0" w:name="_Toc126151295"/>
      <w:r>
        <w:rPr/>
        <w:t>СОДЕРЖАНИЕ</w:t>
      </w:r>
      <w:bookmarkEnd w:id="0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6"/>
              <w:vanish w:val="false"/>
            </w:rPr>
            <w:instrText xml:space="preserve"> TOC \z \o "1-4" \u \h</w:instrText>
          </w:r>
          <w:r>
            <w:rPr>
              <w:webHidden/>
              <w:rStyle w:val="Style16"/>
              <w:vanish w:val="false"/>
            </w:rPr>
            <w:fldChar w:fldCharType="separate"/>
          </w:r>
          <w:hyperlink w:anchor="_Toc1261512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СОДЕРЖАНИЕ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296">
            <w:r>
              <w:rPr>
                <w:webHidden/>
                <w:rStyle w:val="Style16"/>
                <w:vanish w:val="false"/>
              </w:rPr>
              <w:t>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6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297">
            <w:r>
              <w:rPr>
                <w:webHidden/>
                <w:rStyle w:val="Style16"/>
                <w:iCs/>
                <w:vanish w:val="false"/>
              </w:rPr>
              <w:t>1.1.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</w:rPr>
              <w:t>Наименование представляемых 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298">
            <w:r>
              <w:rPr>
                <w:webHidden/>
                <w:rStyle w:val="Style16"/>
                <w:iCs/>
                <w:vanish w:val="false"/>
              </w:rPr>
              <w:t>1.2.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</w:rPr>
              <w:t>Цель оказания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303">
            <w:r>
              <w:rPr>
                <w:webHidden/>
                <w:rStyle w:val="Style16"/>
                <w:vanish w:val="false"/>
              </w:rPr>
              <w:t>2.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6"/>
              </w:rPr>
              <w:t>Требования к оказанию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304">
            <w:r>
              <w:rPr>
                <w:webHidden/>
                <w:rStyle w:val="Style16"/>
                <w:iCs/>
                <w:vanish w:val="false"/>
              </w:rPr>
              <w:t>2.1.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</w:rPr>
              <w:t>Требования к объемам и срокам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305">
            <w:r>
              <w:rPr>
                <w:webHidden/>
                <w:rStyle w:val="Style16"/>
                <w:vanish w:val="false"/>
              </w:rPr>
              <w:t>2.1.1.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</w:rPr>
              <w:t>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3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Таблица 1.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3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2.1.2.Требования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3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Таблица 2. Требования по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6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9911"/>
          <w:tab w:val="left" w:pos="560" w:leader="none"/>
          <w:tab w:val="right" w:pos="9922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hyperlink w:anchor="_Toc126151310">
        <w:r>
          <w:rPr>
            <w:rStyle w:val="Style16"/>
            <w:vanish w:val="false"/>
          </w:rPr>
          <w:t>Таблица 3. Требования к качеству услуг……………………………………………....….….</w:t>
        </w:r>
      </w:hyperlink>
      <w:r>
        <w:rPr/>
        <w:t>.........4</w:t>
      </w:r>
    </w:p>
    <w:p>
      <w:pPr>
        <w:pStyle w:val="Heading2"/>
        <w:numPr>
          <w:ilvl w:val="0"/>
          <w:numId w:val="0"/>
        </w:numPr>
        <w:tabs>
          <w:tab w:val="clear" w:pos="708"/>
          <w:tab w:val="left" w:pos="8508" w:leader="none"/>
        </w:tabs>
        <w:ind w:hanging="0" w:left="0"/>
        <w:rPr/>
      </w:pPr>
      <w:r>
        <w:rPr/>
        <w:tab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tabs>
          <w:tab w:val="clear" w:pos="708"/>
          <w:tab w:val="left" w:pos="3828" w:leader="none"/>
        </w:tabs>
        <w:ind w:firstLine="66"/>
        <w:rPr>
          <w:caps/>
          <w:sz w:val="26"/>
          <w:szCs w:val="26"/>
        </w:rPr>
      </w:pPr>
      <w:bookmarkStart w:id="1" w:name="_Toc126151296"/>
      <w:bookmarkStart w:id="2" w:name="_Toc51339692"/>
      <w:r>
        <w:rPr>
          <w:sz w:val="26"/>
          <w:szCs w:val="26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3" w:name="_Toc126151297"/>
      <w:bookmarkStart w:id="4" w:name="_Toc46743506"/>
      <w:r>
        <w:rPr>
          <w:sz w:val="24"/>
          <w:szCs w:val="24"/>
        </w:rPr>
        <w:t xml:space="preserve">Наименование </w:t>
      </w:r>
      <w:bookmarkEnd w:id="3"/>
      <w:bookmarkEnd w:id="4"/>
      <w:r>
        <w:rPr>
          <w:sz w:val="24"/>
          <w:szCs w:val="24"/>
          <w:lang w:val="ru-RU"/>
        </w:rPr>
        <w:t>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ОКПД 2: 86.21.10 Оказание услуг по проведению предрейсовых и послерейсовых осмотров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работников Куршавской группы, Сенгилеевской группы, Зеленчукского ПУ Кубанского филиала.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5" w:name="_Toc54646398"/>
      <w:bookmarkStart w:id="6" w:name="_Toc46743507"/>
      <w:r>
        <w:rPr>
          <w:sz w:val="24"/>
          <w:szCs w:val="24"/>
          <w:lang w:val="ru-RU"/>
        </w:rPr>
        <w:t xml:space="preserve"> </w:t>
      </w:r>
      <w:bookmarkStart w:id="7" w:name="_Toc126151298"/>
      <w:r>
        <w:rPr>
          <w:sz w:val="24"/>
          <w:szCs w:val="24"/>
        </w:rPr>
        <w:t xml:space="preserve">Цель </w:t>
      </w:r>
      <w:bookmarkEnd w:id="6"/>
      <w:bookmarkEnd w:id="7"/>
      <w:r>
        <w:rPr>
          <w:sz w:val="24"/>
          <w:szCs w:val="24"/>
          <w:lang w:val="ru-RU"/>
        </w:rPr>
        <w:t>оказания услуг</w:t>
      </w:r>
      <w:r>
        <w:rPr>
          <w:sz w:val="24"/>
          <w:szCs w:val="24"/>
        </w:rPr>
        <w:t xml:space="preserve"> 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Оказание услуг по проведению предрейсовых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послерейсовых медицинских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осмотров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работников Кубанского филиала АО «Гидроремонт-ВКК» в г. Невинномысск</w:t>
      </w:r>
      <w:r>
        <w:rPr>
          <w:bCs/>
          <w:sz w:val="24"/>
          <w:szCs w:val="24"/>
        </w:rPr>
        <w:t xml:space="preserve"> в целях соблюдения </w:t>
      </w:r>
      <w:r>
        <w:rPr>
          <w:sz w:val="24"/>
          <w:szCs w:val="24"/>
        </w:rPr>
        <w:t xml:space="preserve">приказа Министерства здравоохранения Российской федерации </w:t>
      </w:r>
      <w:r>
        <w:rPr>
          <w:bCs/>
          <w:sz w:val="24"/>
          <w:szCs w:val="24"/>
        </w:rPr>
        <w:t>от 30 мая 2023 г. N 266н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«Об утверждении Порядка и периодичности проведения предсменных, предрейсовых и послесменных, послерейсовых медицинских осмотров, медицинских осмотров в течении рабочего  дня (смены) и перечня включаемых в них исследований», зарегистрированных в Минюсте России 30 мая 2023 г. N 73621</w:t>
      </w:r>
      <w:r>
        <w:rPr>
          <w:sz w:val="24"/>
          <w:szCs w:val="24"/>
          <w:lang w:eastAsia="en-US"/>
        </w:rPr>
        <w:t>, письма Минздрава России от 21.08.2003 N 2510/9468-03-32 «О предрейсовых медицинских осмотрах водителей транспортных средств», приказа Минздрава СССР от 29.09.1989 N 555 «О совершенствовании системы медицинских осмотров трудящихся и водителей индивидуальных транспортных средств».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ascii="Times New Roman" w:hAnsi="Times New Roman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numPr>
          <w:ilvl w:val="0"/>
          <w:numId w:val="3"/>
        </w:numPr>
        <w:tabs>
          <w:tab w:val="clear" w:pos="708"/>
          <w:tab w:val="left" w:pos="567" w:leader="none"/>
        </w:tabs>
        <w:spacing w:before="0" w:after="0"/>
        <w:ind w:hanging="0" w:left="0"/>
        <w:jc w:val="center"/>
        <w:rPr>
          <w:rFonts w:ascii="Times New Roman" w:hAnsi="Times New Roman"/>
          <w:sz w:val="24"/>
          <w:szCs w:val="24"/>
        </w:rPr>
      </w:pPr>
      <w:bookmarkStart w:id="8" w:name="_Toc126151303"/>
      <w:bookmarkStart w:id="9" w:name="_Toc51339693"/>
      <w:bookmarkStart w:id="10" w:name="_Toc50125126"/>
      <w:bookmarkEnd w:id="10"/>
      <w:r>
        <w:rPr>
          <w:sz w:val="24"/>
          <w:szCs w:val="24"/>
        </w:rPr>
        <w:t xml:space="preserve">Требования к </w:t>
      </w:r>
      <w:bookmarkEnd w:id="8"/>
      <w:bookmarkEnd w:id="9"/>
      <w:r>
        <w:rPr>
          <w:sz w:val="24"/>
          <w:szCs w:val="24"/>
          <w:lang w:val="ru-RU"/>
        </w:rPr>
        <w:t>продукции</w:t>
      </w:r>
    </w:p>
    <w:p>
      <w:pPr>
        <w:pStyle w:val="Heading4"/>
        <w:numPr>
          <w:ilvl w:val="1"/>
          <w:numId w:val="3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11" w:name="_Toc126151304"/>
      <w:r>
        <w:rPr>
          <w:sz w:val="24"/>
          <w:szCs w:val="24"/>
        </w:rPr>
        <w:t xml:space="preserve">Требования к объемам и срокам </w:t>
      </w:r>
      <w:bookmarkEnd w:id="11"/>
      <w:r>
        <w:rPr>
          <w:sz w:val="24"/>
          <w:szCs w:val="24"/>
          <w:lang w:val="ru-RU"/>
        </w:rPr>
        <w:t>оказания услуг</w:t>
      </w:r>
    </w:p>
    <w:p>
      <w:pPr>
        <w:pStyle w:val="Heading3"/>
        <w:numPr>
          <w:ilvl w:val="2"/>
          <w:numId w:val="3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12" w:name="_Toc51339695"/>
      <w:bookmarkStart w:id="13" w:name="_Toc124516419"/>
      <w:r>
        <w:rPr>
          <w:sz w:val="24"/>
          <w:szCs w:val="24"/>
          <w:lang w:val="ru-RU"/>
        </w:rPr>
        <w:t>Требования к видам и объему 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14" w:name="_Toc12615130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. </w:t>
      </w:r>
      <w:bookmarkEnd w:id="12"/>
      <w:bookmarkEnd w:id="13"/>
      <w:r>
        <w:rPr>
          <w:sz w:val="24"/>
          <w:szCs w:val="24"/>
          <w:lang w:val="ru-RU"/>
        </w:rPr>
        <w:t xml:space="preserve">Перечень и объем </w:t>
      </w:r>
      <w:bookmarkEnd w:id="14"/>
      <w:r>
        <w:rPr>
          <w:sz w:val="24"/>
          <w:szCs w:val="24"/>
          <w:lang w:val="ru-RU"/>
        </w:rPr>
        <w:t>оказываемых услуг</w:t>
      </w:r>
    </w:p>
    <w:tbl>
      <w:tblPr>
        <w:tblW w:w="104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5"/>
        <w:gridCol w:w="5952"/>
        <w:gridCol w:w="3693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 проведения осмотров в год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Куршавская группа ГЭС</w:t>
            </w:r>
          </w:p>
        </w:tc>
      </w:tr>
      <w:tr>
        <w:trPr>
          <w:trHeight w:val="366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hanging="25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предрейсовых медицинских осмотров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</w:t>
            </w:r>
          </w:p>
        </w:tc>
      </w:tr>
      <w:tr>
        <w:trPr>
          <w:trHeight w:val="41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hanging="25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послерейсовых медицинских осмотров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</w:t>
            </w:r>
          </w:p>
        </w:tc>
      </w:tr>
      <w:tr>
        <w:trPr>
          <w:trHeight w:val="415" w:hRule="atLeast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Сенгилеевская группа ГЭС</w:t>
            </w:r>
          </w:p>
        </w:tc>
      </w:tr>
      <w:tr>
        <w:trPr>
          <w:trHeight w:val="41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hanging="25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предрейсовых медицинских осмотров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</w:t>
            </w:r>
          </w:p>
        </w:tc>
      </w:tr>
      <w:tr>
        <w:trPr>
          <w:trHeight w:val="41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hanging="25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послерейсовых медицинских осмотров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</w:tr>
      <w:tr>
        <w:trPr>
          <w:trHeight w:val="415" w:hRule="atLeast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Зеленчукский ПУ</w:t>
            </w:r>
          </w:p>
        </w:tc>
      </w:tr>
      <w:tr>
        <w:trPr>
          <w:trHeight w:val="41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hanging="25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предрейсовых медицинских осмотров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1060</w:t>
            </w:r>
          </w:p>
        </w:tc>
      </w:tr>
      <w:tr>
        <w:trPr>
          <w:trHeight w:val="41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hanging="25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послерейсовых медицинских осмотров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</w:tr>
      <w:tr>
        <w:trPr>
          <w:trHeight w:val="415" w:hRule="atLeast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</w:t>
            </w:r>
          </w:p>
        </w:tc>
      </w:tr>
      <w:tr>
        <w:trPr>
          <w:trHeight w:val="41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hanging="25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предрейсовых медицинских осмотров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</w:tr>
      <w:tr>
        <w:trPr>
          <w:trHeight w:val="41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hanging="25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послерейсовых медицинских осмотров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rFonts w:ascii="Times New Roman" w:hAnsi="Times New Roman"/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15" w:name="_Toc126151307"/>
      <w:bookmarkStart w:id="16" w:name="_Toc51339696"/>
      <w:r>
        <w:rPr>
          <w:sz w:val="24"/>
          <w:szCs w:val="24"/>
          <w:lang w:val="ru-RU"/>
        </w:rPr>
        <w:t xml:space="preserve">2.1.2. Требования </w:t>
      </w:r>
      <w:bookmarkEnd w:id="16"/>
      <w:r>
        <w:rPr>
          <w:sz w:val="24"/>
          <w:szCs w:val="24"/>
          <w:lang w:val="ru-RU"/>
        </w:rPr>
        <w:t xml:space="preserve">к срокам </w:t>
      </w:r>
      <w:bookmarkEnd w:id="15"/>
      <w:r>
        <w:rPr>
          <w:sz w:val="24"/>
          <w:szCs w:val="24"/>
          <w:lang w:val="ru-RU"/>
        </w:rPr>
        <w:t>оказания 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17" w:name="_Toc51339697"/>
      <w:bookmarkStart w:id="18" w:name="_Toc124516421"/>
      <w:bookmarkStart w:id="19" w:name="_Toc126151308"/>
      <w:bookmarkStart w:id="20" w:name="_Toc50125127"/>
      <w:bookmarkStart w:id="21" w:name="_Toc50125126_Копия_1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19"/>
      <w:bookmarkEnd w:id="20"/>
      <w:bookmarkEnd w:id="22"/>
      <w:r>
        <w:rPr>
          <w:sz w:val="24"/>
          <w:szCs w:val="24"/>
          <w:lang w:val="ru-RU"/>
        </w:rPr>
        <w:t>оказания услуг</w:t>
      </w:r>
    </w:p>
    <w:tbl>
      <w:tblPr>
        <w:tblW w:w="103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0"/>
        <w:gridCol w:w="4706"/>
        <w:gridCol w:w="1852"/>
        <w:gridCol w:w="2953"/>
      </w:tblGrid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оказания услуг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" w:name="_Toc46743510"/>
            <w:r>
              <w:rPr>
                <w:b/>
                <w:sz w:val="24"/>
                <w:szCs w:val="24"/>
              </w:rPr>
              <w:t>4</w:t>
            </w:r>
            <w:bookmarkEnd w:id="23"/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ind w:hanging="25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2: 86.21.10 Оказание услуг по проведению предрейсовых и послерейсовых осмотров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 Куршавской группы, Сенгилеевской группы, Зеленчукского ПУ Кубанского филиала.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01.01.2027г.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31.12.2027г.*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расчетам до полного исполнения обязательств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* Предрейсовые (послерейсовые) медицинские осмотры проводится в течение года ежедневно перед началом рейса (по окончании рейса), в соответствии с   приказом Министерства здравоохранения Российской федерации </w:t>
      </w:r>
      <w:r>
        <w:rPr>
          <w:bCs/>
          <w:sz w:val="24"/>
          <w:szCs w:val="24"/>
        </w:rPr>
        <w:t>от 30 мая 2023 г. N 266н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«Об утверждении Порядка и периодичности проведения предсменных, предрейсовых и послесменных, послерейсовых медицинских осмотров, медицинских осмотров в течении рабочего  дня (смены) и перечня включаемых в них исследований», зарегистрированных в Минюсте России 30 мая 2023 г. N 73621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24" w:name="_Toc126151309"/>
      <w:r>
        <w:rPr>
          <w:sz w:val="24"/>
          <w:szCs w:val="24"/>
          <w:lang w:val="ru-RU"/>
        </w:rPr>
        <w:t xml:space="preserve">2.3. </w:t>
      </w:r>
      <w:r>
        <w:rPr>
          <w:sz w:val="24"/>
          <w:szCs w:val="24"/>
        </w:rPr>
        <w:t xml:space="preserve">Требования к </w:t>
      </w:r>
      <w:r>
        <w:rPr>
          <w:sz w:val="24"/>
          <w:szCs w:val="24"/>
          <w:lang w:val="ru-RU"/>
        </w:rPr>
        <w:t xml:space="preserve">качеству </w:t>
      </w:r>
      <w:bookmarkEnd w:id="24"/>
      <w:r>
        <w:rPr>
          <w:sz w:val="24"/>
          <w:szCs w:val="24"/>
          <w:lang w:val="ru-RU"/>
        </w:rPr>
        <w:t>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25" w:name="_Toc124516423"/>
      <w:bookmarkStart w:id="26" w:name="_Toc12615131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 xml:space="preserve">качеству </w:t>
      </w:r>
      <w:bookmarkEnd w:id="25"/>
      <w:bookmarkEnd w:id="26"/>
      <w:r>
        <w:rPr>
          <w:sz w:val="24"/>
          <w:szCs w:val="24"/>
          <w:lang w:val="ru-RU"/>
        </w:rPr>
        <w:t>услуг</w:t>
      </w:r>
      <w:r>
        <w:rPr>
          <w:sz w:val="24"/>
          <w:szCs w:val="24"/>
        </w:rPr>
        <w:t xml:space="preserve"> </w:t>
      </w:r>
    </w:p>
    <w:tbl>
      <w:tblPr>
        <w:tblStyle w:val="af"/>
        <w:tblW w:w="1002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268"/>
        <w:gridCol w:w="6910"/>
      </w:tblGrid>
      <w:tr>
        <w:trPr>
          <w:trHeight w:val="580" w:hRule="atLeast"/>
        </w:trPr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910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910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>
          <w:trHeight w:val="115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suppressAutoHyphens w:val="true"/>
              <w:spacing w:before="0" w:after="0"/>
              <w:ind w:hanging="360" w:left="36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условия</w:t>
            </w:r>
          </w:p>
        </w:tc>
        <w:tc>
          <w:tcPr>
            <w:tcW w:w="691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принимает на себя обязательства по выполнению услуг, по проведению предрейсовых и</w:t>
            </w:r>
            <w:r>
              <w:rPr>
                <w:rFonts w:eastAsia="Times New Roman" w:cs="Times New Roman"/>
                <w:spacing w:val="1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послерейсовых</w:t>
            </w:r>
            <w:r>
              <w:rPr>
                <w:rFonts w:eastAsia="Times New Roman" w:cs="Times New Roman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медицинских</w:t>
            </w:r>
            <w:r>
              <w:rPr>
                <w:rFonts w:eastAsia="Times New Roman" w:cs="Times New Roman"/>
                <w:spacing w:val="-9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осмотров</w:t>
            </w:r>
            <w:r>
              <w:rPr>
                <w:rFonts w:eastAsia="Times New Roman" w:cs="Times New Roman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работников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suppressAutoHyphens w:val="true"/>
              <w:spacing w:before="0" w:after="0"/>
              <w:ind w:hanging="360" w:left="36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1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Наличие лицензии на осуществление медицинской деятельности, предусматривающей выполнение услуг по медицинским осмотрам (предрейсовым, послерейсовым).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>
          <w:trHeight w:val="2716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2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6910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sz w:val="24"/>
                <w:szCs w:val="24"/>
                <w:shd w:fill="auto" w:val="clear"/>
              </w:rPr>
              <w:t>Предрейсовые, послерейсовые медицинские осмотры, проводятся очно в медицинском кабинете без использования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sz w:val="24"/>
                <w:szCs w:val="24"/>
                <w:shd w:fill="auto" w:val="clear"/>
              </w:rPr>
              <w:t>Медицинское учреждение должно располагаться в радиусе не более 10 км от места расположения: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sz w:val="24"/>
                <w:szCs w:val="24"/>
                <w:shd w:fill="auto" w:val="clear"/>
                <w:lang w:val="ru-RU"/>
              </w:rPr>
              <w:t>-  Карачаево-Черкесская Республика, Прикубанский район, пос. Ударный;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sz w:val="24"/>
                <w:szCs w:val="24"/>
                <w:shd w:fill="auto" w:val="clear"/>
                <w:lang w:val="ru-RU"/>
              </w:rPr>
              <w:t>-  Карачаево-Черкесская Республика, Карачаевский район, аул Кумыш;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sz w:val="24"/>
                <w:szCs w:val="24"/>
                <w:shd w:fill="auto" w:val="clear"/>
                <w:lang w:val="ru-RU"/>
              </w:rPr>
              <w:t>-  Ставропольский край, Шпаковский муниципальный район, сельское поселение Сенгилеевский сельсовет, пос. Приозерный</w:t>
            </w:r>
          </w:p>
        </w:tc>
      </w:tr>
      <w:tr>
        <w:trPr>
          <w:trHeight w:val="2716" w:hRule="atLeast"/>
        </w:trPr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2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Предрейсовый и послерейсовый медицинский осмотр включает проведение медицинским персоналом Исполнителя следующих мероприятий: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360" w:left="36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Сбор анамнеза.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-Определение артериального давления и пульса у водителей.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При наличии показаний проведение любых других разрешенных медицинских исследований, необходимых для решения вопроса о допуске к работе водителя.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Для водителей, больных гипертонической болезнью, медицинским персоналом Исполнителя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-При решении вопроса о возможности допуска водителя к управлению автомобилем медицинский работник Исполнителя, проводящий предрейсовый,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Водители не допускаются к управлению транспортным средством в следующих случаях: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 выявлении признаков временной нетрудоспособности;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 положительной пробе на алкоголь, на другие психотропные вещества и наркотики в выдыхаемом воздухе или биологических субстратах;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 выявлении признаков воздействия наркотических веществ.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9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нести все расходы  на заработную плату, поверку и программное обеспечение дистанционных медицинских изделий, оплату ремонта и запасных частей, налоговых пошлин, страховых сборов, штрафов, и иных расходов, возникающих в рамках Договора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кабинету</w:t>
            </w:r>
          </w:p>
        </w:tc>
        <w:tc>
          <w:tcPr>
            <w:tcW w:w="69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Медицинский кабинет должен состоять из помещения, состоящее не менее чем из двух комнат: комнаты для проведения осмотров и комнаты для отбора биологических сред.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Оснащение приборами, оборудованием</w:t>
            </w:r>
          </w:p>
        </w:tc>
        <w:tc>
          <w:tcPr>
            <w:tcW w:w="69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Оснащение кабинета, должно соответствовать п.4 Приложения № 2 Письма Минздрава РФ от 21.08.2003 N 2510/9468-03-32 "О предрейсовых медицинских осмотрах водителей транспортных средств":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кушетка медицинская;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письменный стол, стулья, настольная лампа, шкаф для одежды, вешалка для верхней одежды, напольный коврик, сейф;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прибор для определения артериального давления - 2 шт., термометр - 3 шт., стетофонендоскоп - 2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прибор для определения паров спирта в выдыхаемом воздухе - 2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алкометр, экспресс-тесты на алкоголь и наркотики. Постоянный запас в количестве: алкометры - 2 шт., экспресс-тесты на наркотики - 10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столик для медицинского оборудования - 1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шпатели медицинские - 10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сумка с набором медикаментов для оказания неотложной медицинской помощи - 1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оборудованная комната для отбора биологических сред.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персоналу</w:t>
            </w:r>
          </w:p>
        </w:tc>
        <w:tc>
          <w:tcPr>
            <w:tcW w:w="69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Медицинский работник должен иметь высшее или среднее профессиональное образование и иметь соответствующий сертификат.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2.1.1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услуг</w:t>
            </w:r>
          </w:p>
        </w:tc>
        <w:tc>
          <w:tcPr>
            <w:tcW w:w="69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считаются оказанными Исполнителем и принятыми Заказчиком с момента подписания Сторонами Акта выполненных работ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2.2.1</w:t>
            </w:r>
          </w:p>
        </w:tc>
        <w:tc>
          <w:tcPr>
            <w:tcW w:w="22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 по оказанию услуг</w:t>
            </w:r>
          </w:p>
        </w:tc>
        <w:tc>
          <w:tcPr>
            <w:tcW w:w="69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выполненных работ должен быть предоставлен Исполнителем в 2-х экземплярах</w:t>
            </w:r>
          </w:p>
        </w:tc>
      </w:tr>
      <w:tr>
        <w:trPr>
          <w:trHeight w:val="854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Ведение журналов на бумажном носителе, подписываемом медицинским работником: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Журнал регистрации предрейсовых, предсменных медицинских осмотров;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-Журнал регистрации медицинских осмотров в течение рабочего дня (смены), послесменных, послерейсовых медицинских осмотров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042" w:leader="none"/>
              </w:tabs>
              <w:suppressAutoHyphens w:val="true"/>
              <w:spacing w:before="0" w:after="0"/>
              <w:ind w:hanging="0" w:left="64" w:right="8"/>
              <w:contextualSpacing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Ведение путевых листов на бумажном носителе: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предрейсовый медицинский осмотр, к исполнению трудовых обязанностей допущен", "прошел послерейсовый медицинский осмотр" или "прошел послерейсовый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98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hanging="360" w:left="35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соблюдать</w:t>
            </w:r>
          </w:p>
        </w:tc>
        <w:tc>
          <w:tcPr>
            <w:tcW w:w="69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Приказа Министерства здравоохранения Российской федерации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от 30 мая 2023 г. N 266н</w:t>
            </w:r>
            <w:r>
              <w:rPr>
                <w:rFonts w:eastAsia="Times New Roman" w:cs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«Об утверждении Порядка и периодичности проведения предсменных, предрейсовых и послесменных, послерейсовых медицинских осмотров, медицинских осмотров в течении рабочего  дня (смены) и перечня включаемых в них исследований», зарегистрированных в Минюсте России 30 мая 2023 г. N 73621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, приказа Минздрава СССР от 29.09.1989 N 555 «О совершенствовании системы медицинских осмотров трудящихся и водителей индивидуальных транспортных средств»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Письмо Минздрава РФ от 21.08.2003 N 2510/9468-03-32 "О предрейсовых медицинских осмотрах водителей транспортных средств"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</w:t>
            </w:r>
          </w:p>
        </w:tc>
        <w:tc>
          <w:tcPr>
            <w:tcW w:w="69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несет ответственность за качество оказанных услуг, полноту и достоверность предоставляемых данных, в соответствии с настоящими техническими требованиями и действующими нормативными актами РФ</w:t>
            </w:r>
            <w:bookmarkStart w:id="27" w:name="_GoBack"/>
            <w:bookmarkEnd w:id="27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оказываемых услуг</w:t>
            </w:r>
          </w:p>
        </w:tc>
        <w:tc>
          <w:tcPr>
            <w:tcW w:w="6910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28" w:name="_Toc125982018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услуг  является фиксированной на протяжении всего срока действия договора</w:t>
            </w:r>
            <w:bookmarkEnd w:id="28"/>
          </w:p>
        </w:tc>
      </w:tr>
    </w:tbl>
    <w:p>
      <w:pPr>
        <w:pStyle w:val="Normal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Spacing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40"/>
        <w:rPr>
          <w:bCs/>
          <w:i/>
          <w:i/>
          <w:iCs/>
        </w:rPr>
      </w:pPr>
      <w:r>
        <w:rPr>
          <w:bCs/>
          <w:i/>
          <w:iCs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851" w:right="738" w:gutter="0" w:header="680" w:top="737" w:footer="0" w:bottom="28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1.1.%1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1.2.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e1312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e1312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Основной текст_"/>
    <w:basedOn w:val="DefaultParagraphFont"/>
    <w:link w:val="110"/>
    <w:uiPriority w:val="99"/>
    <w:qFormat/>
    <w:locked/>
    <w:rsid w:val="00da3a59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uiPriority w:val="99"/>
    <w:qFormat/>
    <w:rsid w:val="00f03e55"/>
    <w:rPr>
      <w:sz w:val="28"/>
      <w:szCs w:val="28"/>
    </w:rPr>
  </w:style>
  <w:style w:type="character" w:styleId="Style16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fb0d8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b0d8f"/>
    <w:pPr>
      <w:tabs>
        <w:tab w:val="clear" w:pos="708"/>
        <w:tab w:val="left" w:pos="709" w:leader="none"/>
        <w:tab w:val="right" w:pos="9911" w:leader="dot"/>
      </w:tabs>
      <w:ind w:hanging="280" w:left="28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c583a"/>
    <w:pPr>
      <w:tabs>
        <w:tab w:val="clear" w:pos="708"/>
        <w:tab w:val="left" w:pos="560" w:leader="none"/>
        <w:tab w:val="left" w:pos="709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1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da3a59"/>
    <w:pPr>
      <w:widowControl w:val="false"/>
      <w:shd w:val="clear" w:color="auto" w:fill="FFFFFF"/>
      <w:spacing w:lineRule="exact" w:line="302"/>
    </w:pPr>
    <w:rPr/>
  </w:style>
  <w:style w:type="paragraph" w:styleId="No-indent" w:customStyle="1">
    <w:name w:val="no-indent"/>
    <w:basedOn w:val="Normal"/>
    <w:qFormat/>
    <w:rsid w:val="00301cc2"/>
    <w:pPr>
      <w:spacing w:beforeAutospacing="1" w:afterAutospacing="1"/>
    </w:pPr>
    <w:rPr>
      <w:sz w:val="24"/>
      <w:szCs w:val="24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07BA-F54B-4EE5-A0ED-38CF8AB1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AlterOffice/2026.1.0.0$Linux_X86_64 LibreOffice_project/a0185688e0f3f228c7940c57a96eaa0ebba58757</Application>
  <AppVersion>15.0000</AppVersion>
  <Pages>6</Pages>
  <Words>1298</Words>
  <Characters>9031</Characters>
  <CharactersWithSpaces>10220</CharactersWithSpaces>
  <Paragraphs>176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2023-10-13T11:22:00Z</dcterms:created>
  <dc:creator>Быстров Олег Геннадьевич</dc:creator>
  <dc:description/>
  <dc:language>ru-RU</dc:language>
  <cp:lastModifiedBy>velikosvyatnn@corp.gidroogk.com</cp:lastModifiedBy>
  <cp:lastPrinted>2025-10-07T16:24:54Z</cp:lastPrinted>
  <dcterms:modified xsi:type="dcterms:W3CDTF">2026-05-29T14:23:07Z</dcterms:modified>
  <cp:revision>28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