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hanging="0"/>
        <w:jc w:val="center"/>
        <w:rPr/>
      </w:pPr>
      <w:r>
        <w:rPr>
          <w:rFonts w:eastAsia="Calibri" w:cs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em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ru-RU" w:bidi="ar-SA"/>
        </w:rPr>
        <w:t>КПД2 20.59.59.900 Поставка полимерных материалов для выполнения работ на Нижегородской ГЭС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/>
      </w:pPr>
      <w:r>
        <w:rPr>
          <w:sz w:val="24"/>
          <w:szCs w:val="24"/>
        </w:rPr>
        <w:t xml:space="preserve">Лот№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  <w:t>0076-ТПИР ОБСЛ ДОХ-2025-ГРВКК-СШФ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hd w:val="clear" w:fill="FFFFFF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  <w:shd w:fill="auto" w:val="clear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rStyle w:val="Style14"/>
              <w:sz w:val="24"/>
              <w:szCs w:val="24"/>
            </w:rPr>
            <w:instrText xml:space="preserve"> TOC \o "1-4" \h</w:instrText>
          </w:r>
          <w:r>
            <w:rPr>
              <w:rStyle w:val="Style14"/>
              <w:sz w:val="24"/>
              <w:szCs w:val="24"/>
            </w:rPr>
            <w:fldChar w:fldCharType="separate"/>
          </w:r>
          <w:hyperlink w:anchor="_Toc75446566">
            <w:r>
              <w:rPr>
                <w:rStyle w:val="Style14"/>
                <w:sz w:val="24"/>
                <w:szCs w:val="24"/>
              </w:rPr>
              <w:t>1.</w:t>
            </w:r>
            <w:r>
              <w:rPr>
                <w:rStyle w:val="Style14"/>
                <w:rFonts w:eastAsia="新細明體" w:cs="Arial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rStyle w:val="Style14"/>
                <w:iCs/>
                <w:sz w:val="24"/>
                <w:szCs w:val="24"/>
              </w:rPr>
              <w:t>1.2.</w:t>
            </w:r>
            <w:r>
              <w:rPr>
                <w:rStyle w:val="Style14"/>
                <w:rFonts w:eastAsia="新細明體" w:cs="Arial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rStyle w:val="Style14"/>
                <w:iCs/>
                <w:sz w:val="24"/>
                <w:szCs w:val="24"/>
              </w:rPr>
              <w:t>1.3.</w:t>
            </w:r>
            <w:r>
              <w:rPr>
                <w:rStyle w:val="Style14"/>
                <w:rFonts w:eastAsia="新細明體" w:cs="Arial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 xml:space="preserve">Цель использования закупаемой продукции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rStyle w:val="Style14"/>
                <w:sz w:val="24"/>
                <w:szCs w:val="24"/>
              </w:rPr>
              <w:t>2.</w:t>
            </w:r>
            <w:r>
              <w:rPr>
                <w:rStyle w:val="Style14"/>
                <w:rFonts w:eastAsia="新細明體" w:cs="Arial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iCs/>
                <w:sz w:val="24"/>
                <w:szCs w:val="2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rStyle w:val="Style14"/>
                <w:iCs/>
                <w:sz w:val="24"/>
                <w:szCs w:val="24"/>
              </w:rPr>
              <w:t>2.1.</w:t>
            </w:r>
            <w:r>
              <w:rPr>
                <w:rStyle w:val="Style14"/>
                <w:rFonts w:eastAsia="新細明體" w:cs="Arial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rStyle w:val="Style14"/>
                <w:sz w:val="24"/>
                <w:szCs w:val="24"/>
              </w:rPr>
              <w:t>2.1.1.</w:t>
            </w:r>
            <w:r>
              <w:rPr>
                <w:rStyle w:val="Style14"/>
                <w:rFonts w:eastAsia="新細明體" w:cs="Arial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rStyle w:val="Style14"/>
                <w:sz w:val="24"/>
                <w:szCs w:val="24"/>
              </w:rPr>
              <w:t>Таблица 2.1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8">
            <w:r>
              <w:rPr>
                <w:rStyle w:val="Style14"/>
                <w:sz w:val="24"/>
                <w:szCs w:val="24"/>
              </w:rPr>
              <w:t>2.1.2.</w:t>
            </w:r>
            <w:r>
              <w:rPr>
                <w:rStyle w:val="Style14"/>
                <w:rFonts w:eastAsia="新細明體" w:cs="Arial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rStyle w:val="Style14"/>
                <w:sz w:val="24"/>
                <w:szCs w:val="24"/>
              </w:rPr>
              <w:t>Таблица 2.2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81">
            <w:r>
              <w:rPr>
                <w:rStyle w:val="Style14"/>
                <w:iCs/>
                <w:sz w:val="24"/>
                <w:szCs w:val="24"/>
              </w:rPr>
              <w:t>2.2.</w:t>
            </w:r>
            <w:r>
              <w:rPr>
                <w:rStyle w:val="Style14"/>
                <w:rFonts w:eastAsia="新細明體" w:cs="Arial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rStyle w:val="Style14"/>
                <w:sz w:val="24"/>
                <w:szCs w:val="24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3">
            <w:r>
              <w:rPr>
                <w:rStyle w:val="Style14"/>
                <w:sz w:val="24"/>
                <w:szCs w:val="24"/>
              </w:rPr>
              <w:t>3.</w:t>
            </w:r>
            <w:r>
              <w:rPr>
                <w:rStyle w:val="Style14"/>
                <w:rFonts w:eastAsia="新細明體" w:cs="Arial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4"/>
              <w:szCs w:val="24"/>
              <w:vanish w:val="false"/>
            </w:rPr>
            <w:fldChar w:fldCharType="end"/>
          </w:r>
        </w:p>
      </w:sdtContent>
    </w:sdt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rFonts w:ascii="Times New Roman" w:hAnsi="Times New Roman"/>
          <w:sz w:val="24"/>
          <w:szCs w:val="24"/>
        </w:rPr>
      </w:pPr>
      <w:r>
        <w:br w:type="page"/>
      </w:r>
      <w:bookmarkStart w:id="0" w:name="_Toc75446566"/>
      <w:bookmarkStart w:id="1" w:name="_Toc51339692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2" w:name="_Toc75446568"/>
      <w:bookmarkStart w:id="3" w:name="_Toc46743506"/>
      <w:r>
        <w:rPr>
          <w:sz w:val="24"/>
          <w:szCs w:val="24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/>
          <w:b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x-none"/>
        </w:rPr>
        <w:tab/>
      </w:r>
      <w:r>
        <w:rPr>
          <w:rFonts w:eastAsia="Calibri" w:cs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em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ru-RU" w:bidi="ar-SA"/>
        </w:rPr>
        <w:t>КПД2 20.59.59.900 Поставка полимерных материалов для выполнения работ на Нижегородской ГЭС</w:t>
      </w:r>
      <w:r>
        <w:rPr>
          <w:rFonts w:eastAsia="Calibri"/>
          <w:i w:val="false"/>
          <w:iCs w:val="false"/>
          <w:sz w:val="24"/>
          <w:szCs w:val="24"/>
          <w:lang w:eastAsia="x-none"/>
        </w:rPr>
        <w:t xml:space="preserve"> (далее – продукция).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>
          <w:rFonts w:ascii="Times New Roman" w:hAnsi="Times New Roman"/>
          <w:sz w:val="24"/>
          <w:szCs w:val="24"/>
        </w:rPr>
      </w:pPr>
      <w:bookmarkStart w:id="4" w:name="_Toc75446569"/>
      <w:bookmarkStart w:id="5" w:name="_Toc46743507"/>
      <w:r>
        <w:rPr>
          <w:sz w:val="24"/>
          <w:szCs w:val="24"/>
        </w:rPr>
        <w:t xml:space="preserve">Цель </w:t>
      </w:r>
      <w:bookmarkEnd w:id="5"/>
      <w:r>
        <w:rPr>
          <w:sz w:val="24"/>
          <w:szCs w:val="24"/>
          <w:lang w:val="ru-RU"/>
        </w:rPr>
        <w:t>использования закупаемой продукции</w:t>
      </w:r>
      <w:bookmarkEnd w:id="4"/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Cs/>
          <w:sz w:val="24"/>
          <w:szCs w:val="24"/>
          <w:shd w:fill="FFFFFF" w:val="clear"/>
          <w:lang w:eastAsia="ru-RU"/>
        </w:rPr>
        <w:t>Исполнение доходного договора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ab/>
        <w:t xml:space="preserve">№1240-129-2021 от 12.07.2021 «Строительно-монтажные и пусконаладочные работы по замене гидроагрегата ст.№1,4,7» для нужд филиала ПАО «РусГидро»-«Нижегородская ГЭС»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eastAsia="ru-RU"/>
        </w:rPr>
        <w:t>(заключенный между ПАО «РусГидро» и АО «Гидроремонт-ВКК»)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shd w:fill="auto" w:val="clear"/>
        </w:rPr>
      </w:pPr>
      <w:r>
        <w:rPr>
          <w:b w:val="false"/>
          <w:bCs w:val="false"/>
          <w:i w:val="false"/>
          <w:iCs w:val="false"/>
          <w:sz w:val="24"/>
          <w:szCs w:val="24"/>
          <w:shd w:fill="auto" w:val="clear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rFonts w:ascii="Times New Roman" w:hAnsi="Times New Roman"/>
          <w:sz w:val="24"/>
          <w:szCs w:val="24"/>
        </w:rPr>
      </w:pPr>
      <w:bookmarkStart w:id="6" w:name="_Toc51339693"/>
      <w:bookmarkStart w:id="7" w:name="_Toc75446573"/>
      <w:r>
        <w:rPr>
          <w:iCs/>
          <w:sz w:val="24"/>
          <w:szCs w:val="24"/>
        </w:rPr>
        <w:t>Требования к 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8" w:name="_Toc75446574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bookmarkStart w:id="9" w:name="_Toc75446575"/>
      <w:r>
        <w:rPr>
          <w:sz w:val="24"/>
          <w:szCs w:val="24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Fonts w:ascii="Times New Roman" w:hAnsi="Times New Roman"/>
          <w:sz w:val="24"/>
          <w:szCs w:val="24"/>
        </w:rPr>
      </w:pPr>
      <w:bookmarkStart w:id="10" w:name="_Toc75446576"/>
      <w:bookmarkStart w:id="11" w:name="_Toc51339695"/>
      <w:r>
        <w:rPr>
          <w:sz w:val="24"/>
          <w:szCs w:val="24"/>
        </w:rPr>
        <w:t>Таблица 2</w:t>
      </w:r>
      <w:r>
        <w:rPr>
          <w:sz w:val="24"/>
          <w:szCs w:val="24"/>
          <w:lang w:val="ru-RU"/>
        </w:rPr>
        <w:t>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10095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360"/>
        <w:gridCol w:w="1438"/>
        <w:gridCol w:w="1581"/>
      </w:tblGrid>
      <w:tr>
        <w:trPr/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>*</w:t>
            </w:r>
          </w:p>
        </w:tc>
      </w:tr>
      <w:tr>
        <w:trPr/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/>
              <w:ind w:left="360" w:right="0" w:hanging="36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Пропитка</w:t>
            </w:r>
            <w:r>
              <w:rPr>
                <w:sz w:val="24"/>
                <w:szCs w:val="24"/>
              </w:rPr>
              <w:t xml:space="preserve"> MAXFLOOR </w:t>
            </w:r>
            <w:r>
              <w:rPr>
                <w:sz w:val="24"/>
                <w:szCs w:val="24"/>
              </w:rPr>
              <w:t>801 (нефтеполимерная однокомпонентная)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741</w:t>
            </w:r>
            <w:r>
              <w:rPr>
                <w:sz w:val="24"/>
                <w:szCs w:val="24"/>
              </w:rPr>
              <w:t>,0</w:t>
            </w:r>
          </w:p>
        </w:tc>
      </w:tr>
    </w:tbl>
    <w:p>
      <w:pPr>
        <w:pStyle w:val="ListParagraph"/>
        <w:keepNext w:val="true"/>
        <w:numPr>
          <w:ilvl w:val="0"/>
          <w:numId w:val="0"/>
        </w:numPr>
        <w:spacing w:before="120" w:after="60"/>
        <w:ind w:left="142" w:right="-142" w:hanging="0"/>
        <w:contextualSpacing/>
        <w:outlineLvl w:val="2"/>
        <w:rPr>
          <w:i/>
          <w:i/>
          <w:iCs/>
        </w:rPr>
      </w:pPr>
      <w:r>
        <w:rPr>
          <w:i/>
          <w:iCs/>
          <w:sz w:val="20"/>
          <w:szCs w:val="20"/>
          <w:lang w:eastAsia="x-none"/>
        </w:rPr>
        <w:t xml:space="preserve">* Количество </w:t>
      </w:r>
      <w:r>
        <w:rPr>
          <w:i/>
          <w:iCs/>
          <w:sz w:val="20"/>
          <w:szCs w:val="20"/>
          <w:lang w:eastAsia="x-none"/>
        </w:rPr>
        <w:t>может корректировать согласно кратности упаковки</w:t>
      </w:r>
    </w:p>
    <w:p>
      <w:pPr>
        <w:pStyle w:val="Heading3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bookmarkStart w:id="12" w:name="_Toc75446578"/>
      <w:bookmarkStart w:id="13" w:name="_Toc51339696"/>
      <w:r>
        <w:rPr>
          <w:sz w:val="24"/>
          <w:szCs w:val="24"/>
          <w:lang w:val="ru-RU"/>
        </w:rPr>
        <w:t xml:space="preserve">Требования </w:t>
      </w:r>
      <w:bookmarkEnd w:id="13"/>
      <w:r>
        <w:rPr>
          <w:sz w:val="24"/>
          <w:szCs w:val="24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Fonts w:ascii="Times New Roman" w:hAnsi="Times New Roman"/>
          <w:sz w:val="24"/>
          <w:szCs w:val="24"/>
        </w:rPr>
      </w:pPr>
      <w:bookmarkStart w:id="14" w:name="_Toc75446579"/>
      <w:bookmarkStart w:id="15" w:name="_Toc50125127"/>
      <w:bookmarkStart w:id="16" w:name="_Toc51339697"/>
      <w:bookmarkStart w:id="17" w:name="_Toc50125126_Копия_1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4"/>
      <w:r>
        <w:rPr>
          <w:sz w:val="24"/>
          <w:szCs w:val="24"/>
          <w:lang w:val="ru-RU"/>
        </w:rPr>
        <w:t xml:space="preserve"> </w:t>
      </w:r>
    </w:p>
    <w:tbl>
      <w:tblPr>
        <w:tblW w:w="991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069"/>
        <w:gridCol w:w="1920"/>
        <w:gridCol w:w="2211"/>
      </w:tblGrid>
      <w:tr>
        <w:trPr/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8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ind w:left="360" w:righ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zh-CN" w:bidi="ar-SA"/>
              </w:rPr>
              <w:t>О</w:t>
            </w: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КПД2 20.59.59.900 Поставка полимерных материалов для выполнения работ на Нижегородской ГЭС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30 календарных дней с даты подписания Договора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19" w:name="_Toc51339698"/>
      <w:bookmarkStart w:id="20" w:name="_Toc75446581"/>
      <w:bookmarkStart w:id="21" w:name="_Toc46743511"/>
      <w:bookmarkStart w:id="22" w:name="_Toc46743510_Копия_1_Копия_1"/>
      <w:bookmarkEnd w:id="22"/>
      <w:r>
        <w:rPr>
          <w:sz w:val="24"/>
          <w:szCs w:val="24"/>
        </w:rPr>
        <w:t xml:space="preserve">Требования к </w:t>
      </w:r>
      <w:bookmarkEnd w:id="21"/>
      <w:r>
        <w:rPr>
          <w:sz w:val="24"/>
          <w:szCs w:val="24"/>
          <w:lang w:val="ru-RU"/>
        </w:rPr>
        <w:t>качеству продукции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Fonts w:ascii="Times New Roman" w:hAnsi="Times New Roman"/>
          <w:sz w:val="24"/>
          <w:szCs w:val="24"/>
        </w:rPr>
      </w:pPr>
      <w:bookmarkStart w:id="23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3"/>
      <w:r>
        <w:rPr>
          <w:sz w:val="24"/>
          <w:szCs w:val="24"/>
        </w:rPr>
        <w:t xml:space="preserve"> </w:t>
      </w:r>
      <w:bookmarkEnd w:id="19"/>
    </w:p>
    <w:p>
      <w:pPr>
        <w:pStyle w:val="Normal"/>
        <w:jc w:val="both"/>
        <w:rPr/>
      </w:pPr>
      <w:r>
        <w:rPr>
          <w:b/>
          <w:bCs/>
          <w:i/>
          <w:iCs/>
          <w:sz w:val="24"/>
          <w:szCs w:val="24"/>
        </w:rPr>
        <w:t>Н</w:t>
      </w:r>
      <w:r>
        <w:rPr>
          <w:b/>
          <w:bCs/>
          <w:i/>
          <w:iCs/>
          <w:sz w:val="24"/>
          <w:szCs w:val="24"/>
          <w:shd w:fill="auto" w:val="clear"/>
        </w:rPr>
        <w:t xml:space="preserve">аименование продукции (Таблица 2.1): </w:t>
      </w:r>
      <w:r>
        <w:rPr>
          <w:rStyle w:val="Style8"/>
          <w:rFonts w:eastAsia="Calibri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О</w:t>
      </w:r>
      <w:r>
        <w:rPr>
          <w:rStyle w:val="Style8"/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ru-RU" w:bidi="ar-SA"/>
        </w:rPr>
        <w:t>КПД2 20.59.59.900 Поставка полимерных материалов для выполнения работ на Нижегородской ГЭС</w:t>
      </w:r>
    </w:p>
    <w:tbl>
      <w:tblPr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88"/>
        <w:gridCol w:w="3385"/>
        <w:gridCol w:w="8889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95" w:hRule="atLeast"/>
        </w:trPr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-117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1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Пропитка</w:t>
            </w:r>
            <w:r>
              <w:rPr>
                <w:sz w:val="24"/>
                <w:szCs w:val="24"/>
              </w:rPr>
              <w:t xml:space="preserve"> MAXFLOOR </w:t>
            </w:r>
            <w:r>
              <w:rPr>
                <w:sz w:val="24"/>
                <w:szCs w:val="24"/>
              </w:rPr>
              <w:t>801 (нефтеполимерная однокомпонентная)</w:t>
            </w:r>
          </w:p>
        </w:tc>
        <w:tc>
          <w:tcPr>
            <w:tcW w:w="3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MAXFLOOR 401</w:t>
            </w:r>
          </w:p>
        </w:tc>
      </w:tr>
      <w:tr>
        <w:trPr/>
        <w:tc>
          <w:tcPr>
            <w:tcW w:w="8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8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Тип</w:t>
            </w:r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Слабо опалесцирующая бесцветная низковязкая жидкость  нефтеполимерная однокомпонентная</w:t>
            </w:r>
          </w:p>
        </w:tc>
      </w:tr>
      <w:tr>
        <w:trPr/>
        <w:tc>
          <w:tcPr>
            <w:tcW w:w="8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8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Условная вязкость по ВЗ-246</w:t>
            </w:r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54 ± 5,0</w:t>
            </w:r>
          </w:p>
        </w:tc>
      </w:tr>
      <w:tr>
        <w:trPr/>
        <w:tc>
          <w:tcPr>
            <w:tcW w:w="8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8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Плотность при (23±2) 0С, г/см³</w:t>
            </w:r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0,85 — 0,95</w:t>
            </w:r>
          </w:p>
        </w:tc>
      </w:tr>
      <w:tr>
        <w:trPr/>
        <w:tc>
          <w:tcPr>
            <w:tcW w:w="8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8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Содержание нелетучих веществ, не менее, %</w:t>
            </w:r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1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Производственный участок АО "Гидроремонт-ВКК" в г. Заволжье, 606521, Нижегородская область, Городецкий район, г. Заволжье,  Нижегородская ГЭС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57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Сроки гарантии</w:t>
            </w:r>
          </w:p>
        </w:tc>
        <w:tc>
          <w:tcPr>
            <w:tcW w:w="1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cs="Times New Roman"/>
                <w:color w:val="000000"/>
                <w:sz w:val="24"/>
                <w:szCs w:val="24"/>
              </w:rPr>
              <w:t>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4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товарную накладную (форма ТОРГ-12) или универсальный передаточный документ (УПД) на продукцию в 2-х экз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4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737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0"/>
        </w:numPr>
        <w:ind w:left="5038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720" w:right="0" w:hanging="0"/>
        <w:jc w:val="left"/>
        <w:rPr>
          <w:color w:val="000000"/>
          <w:sz w:val="24"/>
          <w:szCs w:val="24"/>
          <w:lang w:eastAsia="x-none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hd w:fill="FFFFFF" w:val="clear"/>
      </w:rPr>
    </w:pPr>
    <w:r>
      <w:rPr>
        <w:shd w:fill="FFFFFF" w:val="clear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3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1"/>
        <w:numId w:val="3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5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1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29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Style14">
    <w:name w:val="Ссылка указателя"/>
    <w:qFormat/>
    <w:rPr/>
  </w:style>
  <w:style w:type="character" w:styleId="WW8Num7z2">
    <w:name w:val="WW8Num7z2"/>
    <w:qFormat/>
    <w:rPr>
      <w:b w:val="false"/>
      <w:bCs w:val="fals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8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hd w:val="clear" w:fill="FFFFFF"/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2">
    <w:name w:val="Раздел регламента"/>
    <w:basedOn w:val="Normal"/>
    <w:qFormat/>
    <w:pPr/>
    <w:rPr/>
  </w:style>
  <w:style w:type="paragraph" w:styleId="Style23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4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numPr>
        <w:ilvl w:val="0"/>
        <w:numId w:val="0"/>
      </w:num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5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>
    <w:name w:val="Подподпункт"/>
    <w:basedOn w:val="Style21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0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110">
    <w:name w:val="Стиль1"/>
    <w:qFormat/>
  </w:style>
  <w:style w:type="numbering" w:styleId="29">
    <w:name w:val="Стиль2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Application>AlterOffice/3.4.0.9$Linux_X86_64 LibreOffice_project/b8daf9e823b1a5463a2f48435ddc2e8696e7d4fc</Application>
  <AppVersion>15.0000</AppVersion>
  <Pages>6</Pages>
  <Words>531</Words>
  <Characters>3711</Characters>
  <CharactersWithSpaces>4145</CharactersWithSpaces>
  <Paragraphs>100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2021-04-05T15:04:00Z</dcterms:created>
  <dc:creator>Быстров Олег Геннадьевич</dc:creator>
  <dc:description/>
  <dc:language>ru-RU</dc:language>
  <cp:lastModifiedBy>kuzmichevatav@corp.gidroogk.com</cp:lastModifiedBy>
  <cp:lastPrinted>2006-07-26T14:04:00Z</cp:lastPrinted>
  <dcterms:modified xsi:type="dcterms:W3CDTF">2026-06-01T11:42:26Z</dcterms:modified>
  <cp:revision>50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