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2F152C73"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6F3E90">
        <w:rPr>
          <w:rFonts w:ascii="Times New Roman" w:eastAsia="Times New Roman" w:hAnsi="Times New Roman" w:cs="Times New Roman"/>
          <w:b/>
          <w:bCs/>
          <w:kern w:val="28"/>
          <w:sz w:val="24"/>
          <w:szCs w:val="24"/>
          <w:lang w:eastAsia="x-none"/>
        </w:rPr>
        <w:t>0</w:t>
      </w:r>
      <w:r w:rsidR="00DF7B1B">
        <w:rPr>
          <w:rFonts w:ascii="Times New Roman" w:eastAsia="Times New Roman" w:hAnsi="Times New Roman" w:cs="Times New Roman"/>
          <w:b/>
          <w:bCs/>
          <w:kern w:val="28"/>
          <w:sz w:val="24"/>
          <w:szCs w:val="24"/>
          <w:lang w:eastAsia="x-none"/>
        </w:rPr>
        <w:t>9</w:t>
      </w:r>
      <w:r w:rsidR="007C03F4">
        <w:rPr>
          <w:rFonts w:ascii="Times New Roman" w:eastAsia="Times New Roman" w:hAnsi="Times New Roman" w:cs="Times New Roman"/>
          <w:b/>
          <w:bCs/>
          <w:kern w:val="28"/>
          <w:sz w:val="24"/>
          <w:szCs w:val="24"/>
          <w:lang w:eastAsia="x-none"/>
        </w:rPr>
        <w:t>8</w:t>
      </w:r>
      <w:r w:rsidR="008A4214">
        <w:rPr>
          <w:rFonts w:ascii="Times New Roman" w:eastAsia="Times New Roman" w:hAnsi="Times New Roman" w:cs="Times New Roman"/>
          <w:b/>
          <w:bCs/>
          <w:kern w:val="28"/>
          <w:sz w:val="24"/>
          <w:szCs w:val="24"/>
          <w:lang w:eastAsia="x-none"/>
        </w:rPr>
        <w:t>-Т</w:t>
      </w:r>
      <w:r w:rsidR="005A509C">
        <w:rPr>
          <w:rFonts w:ascii="Times New Roman" w:eastAsia="Times New Roman" w:hAnsi="Times New Roman" w:cs="Times New Roman"/>
          <w:b/>
          <w:bCs/>
          <w:kern w:val="28"/>
          <w:sz w:val="24"/>
          <w:szCs w:val="24"/>
          <w:lang w:eastAsia="x-none"/>
        </w:rPr>
        <w:t>ГЭС</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7D0EF9">
        <w:rPr>
          <w:rFonts w:ascii="Times New Roman" w:eastAsia="Times New Roman" w:hAnsi="Times New Roman" w:cs="Times New Roman"/>
          <w:b/>
          <w:bCs/>
          <w:kern w:val="28"/>
          <w:sz w:val="24"/>
          <w:szCs w:val="24"/>
          <w:lang w:eastAsia="x-none"/>
        </w:rPr>
        <w:t>01</w:t>
      </w:r>
      <w:r w:rsidR="00A97D88" w:rsidRPr="00E43F96">
        <w:rPr>
          <w:rFonts w:ascii="Times New Roman" w:eastAsia="Times New Roman" w:hAnsi="Times New Roman" w:cs="Times New Roman"/>
          <w:b/>
          <w:bCs/>
          <w:kern w:val="28"/>
          <w:sz w:val="24"/>
          <w:szCs w:val="24"/>
          <w:lang w:eastAsia="x-none"/>
        </w:rPr>
        <w:t xml:space="preserve"> </w:t>
      </w:r>
      <w:r w:rsidR="007D0EF9">
        <w:rPr>
          <w:rFonts w:ascii="Times New Roman" w:eastAsia="Times New Roman" w:hAnsi="Times New Roman" w:cs="Times New Roman"/>
          <w:b/>
          <w:bCs/>
          <w:kern w:val="28"/>
          <w:sz w:val="24"/>
          <w:szCs w:val="24"/>
          <w:lang w:eastAsia="x-none"/>
        </w:rPr>
        <w:t>июн</w:t>
      </w:r>
      <w:r w:rsidR="00C11C97">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7C77E946" w:rsidR="00D96BBF" w:rsidRPr="00CB48EE" w:rsidRDefault="00AE6940" w:rsidP="007C03F4">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bookmarkStart w:id="0" w:name="_GoBack"/>
      <w:r w:rsidR="005951CD">
        <w:rPr>
          <w:lang w:val="ru-RU"/>
        </w:rPr>
        <w:t>п</w:t>
      </w:r>
      <w:r w:rsidR="005951CD" w:rsidRPr="005951CD">
        <w:rPr>
          <w:lang w:val="ru-RU"/>
        </w:rPr>
        <w:t xml:space="preserve">оставка </w:t>
      </w:r>
      <w:r w:rsidR="007C03F4" w:rsidRPr="007C03F4">
        <w:rPr>
          <w:lang w:val="ru-RU"/>
        </w:rPr>
        <w:t>земли плодородной</w:t>
      </w:r>
      <w:r w:rsidR="00BB7960" w:rsidRPr="00BB7960">
        <w:t xml:space="preserve"> для нужд </w:t>
      </w:r>
      <w:r>
        <w:rPr>
          <w:lang w:val="ru-RU"/>
        </w:rPr>
        <w:t>АО</w:t>
      </w:r>
      <w:r w:rsidRPr="00AE6940">
        <w:t xml:space="preserve"> «Тульские городские электрические сети»</w:t>
      </w:r>
      <w:bookmarkEnd w:id="0"/>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1"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2"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75A261DB" w:rsidR="00F4735C" w:rsidRDefault="007C03F4" w:rsidP="00DF7B1B">
            <w:pPr>
              <w:pStyle w:val="Default"/>
              <w:ind w:left="567" w:right="175"/>
              <w:jc w:val="both"/>
              <w:rPr>
                <w:b/>
                <w:color w:val="auto"/>
              </w:rPr>
            </w:pPr>
            <w:r>
              <w:rPr>
                <w:b/>
                <w:color w:val="auto"/>
              </w:rPr>
              <w:t>Преимущество</w:t>
            </w:r>
            <w:r w:rsidR="00F4735C">
              <w:rPr>
                <w:b/>
                <w:color w:val="auto"/>
              </w:rPr>
              <w:t xml:space="preserve"> закупки работ, вып</w:t>
            </w:r>
            <w:r w:rsidR="00BB7960">
              <w:rPr>
                <w:b/>
                <w:color w:val="auto"/>
              </w:rPr>
              <w:t xml:space="preserve">олняемых иностранным лицом – </w:t>
            </w:r>
            <w:r w:rsidR="00F4735C">
              <w:rPr>
                <w:b/>
                <w:color w:val="auto"/>
              </w:rPr>
              <w:t>УСТАНОВЛЕН</w:t>
            </w:r>
            <w:r w:rsidR="00C11C97">
              <w:rPr>
                <w:b/>
                <w:color w:val="auto"/>
              </w:rPr>
              <w:t>О</w:t>
            </w:r>
            <w:r w:rsidR="00F4735C">
              <w:rPr>
                <w:b/>
                <w:color w:val="auto"/>
              </w:rPr>
              <w:t>.</w:t>
            </w:r>
          </w:p>
        </w:tc>
      </w:tr>
    </w:tbl>
    <w:p w14:paraId="775D5FDF" w14:textId="151AA447" w:rsidR="005951CD" w:rsidRPr="00F4735C" w:rsidRDefault="007C03F4" w:rsidP="00F4735C">
      <w:pPr>
        <w:spacing w:after="0" w:line="240" w:lineRule="auto"/>
        <w:ind w:left="56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lastRenderedPageBreak/>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1"/>
      <w:bookmarkEnd w:id="2"/>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5"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6"/>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7"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7"/>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8" w:name="_Ref168492785"/>
    </w:p>
    <w:p w14:paraId="44243BC0" w14:textId="789E8D5F" w:rsidR="008206BF" w:rsidRPr="00BF4A0F" w:rsidRDefault="003E5354" w:rsidP="00761C68">
      <w:pPr>
        <w:pStyle w:val="a9"/>
        <w:numPr>
          <w:ilvl w:val="0"/>
          <w:numId w:val="2"/>
        </w:numPr>
        <w:spacing w:after="0"/>
        <w:ind w:firstLine="708"/>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8"/>
      <w:r w:rsidR="005951CD">
        <w:rPr>
          <w:b/>
          <w:bCs/>
          <w:lang w:val="ru-RU"/>
        </w:rPr>
        <w:t xml:space="preserve">81 </w:t>
      </w:r>
      <w:r w:rsidR="007D0EF9">
        <w:rPr>
          <w:b/>
          <w:bCs/>
          <w:lang w:val="ru-RU"/>
        </w:rPr>
        <w:t>9</w:t>
      </w:r>
      <w:r w:rsidR="007C03F4">
        <w:rPr>
          <w:b/>
          <w:bCs/>
          <w:lang w:val="ru-RU"/>
        </w:rPr>
        <w:t>2</w:t>
      </w:r>
      <w:r w:rsidR="005951CD">
        <w:rPr>
          <w:b/>
          <w:bCs/>
          <w:lang w:val="ru-RU"/>
        </w:rPr>
        <w:t>0</w:t>
      </w:r>
      <w:r w:rsidR="00F27ABE">
        <w:rPr>
          <w:b/>
          <w:bCs/>
          <w:lang w:val="ru-RU"/>
        </w:rPr>
        <w:t>,</w:t>
      </w:r>
      <w:r w:rsidR="00C11C97">
        <w:rPr>
          <w:b/>
          <w:bCs/>
          <w:lang w:val="ru-RU"/>
        </w:rPr>
        <w:t>0</w:t>
      </w:r>
      <w:r w:rsidR="00F27ABE">
        <w:rPr>
          <w:b/>
          <w:bCs/>
          <w:lang w:val="ru-RU"/>
        </w:rPr>
        <w:t>0</w:t>
      </w:r>
      <w:r w:rsidR="00637FF2">
        <w:rPr>
          <w:b/>
          <w:bCs/>
        </w:rPr>
        <w:t xml:space="preserve"> руб</w:t>
      </w:r>
      <w:r w:rsidR="00637FF2">
        <w:t>. (без учета НДС), кроме того, НДС 2</w:t>
      </w:r>
      <w:r w:rsidR="006F3E90">
        <w:rPr>
          <w:lang w:val="ru-RU"/>
        </w:rPr>
        <w:t>2</w:t>
      </w:r>
      <w:r w:rsidR="00637FF2">
        <w:t xml:space="preserve">% </w:t>
      </w:r>
      <w:r w:rsidR="007D0EF9">
        <w:rPr>
          <w:lang w:val="ru-RU"/>
        </w:rPr>
        <w:t>18 02</w:t>
      </w:r>
      <w:r w:rsidR="007C03F4">
        <w:rPr>
          <w:lang w:val="ru-RU"/>
        </w:rPr>
        <w:t>2</w:t>
      </w:r>
      <w:r w:rsidR="00F27ABE">
        <w:rPr>
          <w:lang w:val="ru-RU"/>
        </w:rPr>
        <w:t>,</w:t>
      </w:r>
      <w:r w:rsidR="007C03F4">
        <w:rPr>
          <w:lang w:val="ru-RU"/>
        </w:rPr>
        <w:t>4</w:t>
      </w:r>
      <w:r w:rsidR="00F27ABE">
        <w:rPr>
          <w:lang w:val="ru-RU"/>
        </w:rPr>
        <w:t>0</w:t>
      </w:r>
      <w:r w:rsidR="00637FF2">
        <w:t xml:space="preserve"> руб. </w:t>
      </w:r>
      <w:r w:rsidR="00637FF2">
        <w:rPr>
          <w:b/>
        </w:rPr>
        <w:t xml:space="preserve">Итого с учетом НДС </w:t>
      </w:r>
      <w:r w:rsidR="007D0EF9">
        <w:rPr>
          <w:b/>
          <w:lang w:val="ru-RU"/>
        </w:rPr>
        <w:t>99 9</w:t>
      </w:r>
      <w:r w:rsidR="007C03F4">
        <w:rPr>
          <w:b/>
          <w:lang w:val="ru-RU"/>
        </w:rPr>
        <w:t>42</w:t>
      </w:r>
      <w:r w:rsidR="007D0EF9">
        <w:rPr>
          <w:b/>
          <w:lang w:val="ru-RU"/>
        </w:rPr>
        <w:t>,</w:t>
      </w:r>
      <w:r w:rsidR="007C03F4">
        <w:rPr>
          <w:b/>
          <w:lang w:val="ru-RU"/>
        </w:rPr>
        <w:t>4</w:t>
      </w:r>
      <w:r w:rsidR="007D0EF9">
        <w:rPr>
          <w:b/>
          <w:lang w:val="ru-RU"/>
        </w:rPr>
        <w:t>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w:t>
      </w:r>
      <w:r w:rsidRPr="00AC13CC">
        <w:lastRenderedPageBreak/>
        <w:t>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1A63DDDF" w:rsidR="008206BF" w:rsidRDefault="008206BF" w:rsidP="00BE1F33">
      <w:pPr>
        <w:pStyle w:val="a9"/>
        <w:spacing w:after="0"/>
        <w:ind w:firstLine="709"/>
        <w:jc w:val="both"/>
      </w:pPr>
      <w:bookmarkStart w:id="9" w:name="_Ref166314630"/>
      <w:bookmarkStart w:id="10"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9"/>
      <w:r w:rsidRPr="004E382E">
        <w:t xml:space="preserve">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w:t>
      </w:r>
      <w:r w:rsidR="00807DB1">
        <w:rPr>
          <w:lang w:val="ru-RU"/>
        </w:rPr>
        <w:t>с</w:t>
      </w:r>
      <w:r w:rsidRPr="004E382E">
        <w:t xml:space="preserve"> учет</w:t>
      </w:r>
      <w:r w:rsidR="00807DB1">
        <w:rPr>
          <w:lang w:val="ru-RU"/>
        </w:rPr>
        <w:t>ом</w:t>
      </w:r>
      <w:r w:rsidRPr="004E382E">
        <w:t xml:space="preserve"> НДС.</w:t>
      </w:r>
      <w:bookmarkEnd w:id="10"/>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626FEB02"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7D0EF9">
        <w:rPr>
          <w:rFonts w:ascii="Times New Roman" w:eastAsia="Times New Roman" w:hAnsi="Times New Roman" w:cs="Times New Roman"/>
          <w:b/>
          <w:color w:val="FF0000"/>
          <w:sz w:val="24"/>
          <w:szCs w:val="24"/>
          <w:highlight w:val="yellow"/>
          <w:lang w:eastAsia="ru-RU"/>
        </w:rPr>
        <w:t>01</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7D0EF9">
        <w:rPr>
          <w:rFonts w:ascii="Times New Roman" w:eastAsia="Times New Roman" w:hAnsi="Times New Roman" w:cs="Times New Roman"/>
          <w:b/>
          <w:color w:val="FF0000"/>
          <w:sz w:val="24"/>
          <w:szCs w:val="24"/>
          <w:highlight w:val="yellow"/>
          <w:lang w:eastAsia="ru-RU"/>
        </w:rPr>
        <w:t>июн</w:t>
      </w:r>
      <w:r w:rsidR="005951CD">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35DCB699"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1"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7D0EF9">
        <w:rPr>
          <w:rFonts w:ascii="Times New Roman" w:eastAsia="Times New Roman" w:hAnsi="Times New Roman" w:cs="Times New Roman"/>
          <w:b/>
          <w:color w:val="FF0000"/>
          <w:sz w:val="24"/>
          <w:szCs w:val="24"/>
          <w:highlight w:val="yellow"/>
          <w:lang w:eastAsia="ru-RU"/>
        </w:rPr>
        <w:t>04</w:t>
      </w:r>
      <w:r w:rsidR="00A97D88" w:rsidRPr="00C47126">
        <w:rPr>
          <w:rFonts w:ascii="Times New Roman" w:eastAsia="Times New Roman" w:hAnsi="Times New Roman" w:cs="Times New Roman"/>
          <w:b/>
          <w:color w:val="FF0000"/>
          <w:sz w:val="24"/>
          <w:szCs w:val="24"/>
          <w:highlight w:val="yellow"/>
          <w:lang w:eastAsia="ru-RU"/>
        </w:rPr>
        <w:t xml:space="preserve"> </w:t>
      </w:r>
      <w:r w:rsidR="007D0EF9">
        <w:rPr>
          <w:rFonts w:ascii="Times New Roman" w:eastAsia="Times New Roman" w:hAnsi="Times New Roman" w:cs="Times New Roman"/>
          <w:b/>
          <w:color w:val="FF0000"/>
          <w:sz w:val="24"/>
          <w:szCs w:val="24"/>
          <w:highlight w:val="yellow"/>
          <w:lang w:eastAsia="ru-RU"/>
        </w:rPr>
        <w:t>июн</w:t>
      </w:r>
      <w:r w:rsidR="00C11C97">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1"/>
      <w:r w:rsidR="006111ED" w:rsidRPr="00C47126">
        <w:rPr>
          <w:rFonts w:ascii="Times New Roman" w:hAnsi="Times New Roman" w:cs="Times New Roman"/>
          <w:i/>
          <w:highlight w:val="yellow"/>
        </w:rPr>
        <w:t xml:space="preserve"> </w:t>
      </w:r>
    </w:p>
    <w:p w14:paraId="0F4386F4" w14:textId="10E91FE0"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8468A6">
        <w:rPr>
          <w:rFonts w:ascii="Times New Roman" w:eastAsia="Times New Roman" w:hAnsi="Times New Roman" w:cs="Times New Roman"/>
          <w:b/>
          <w:color w:val="FF0000"/>
          <w:sz w:val="24"/>
          <w:szCs w:val="24"/>
          <w:highlight w:val="yellow"/>
          <w:lang w:eastAsia="ru-RU"/>
        </w:rPr>
        <w:t>09</w:t>
      </w:r>
      <w:r w:rsidRPr="00C47126">
        <w:rPr>
          <w:rFonts w:ascii="Times New Roman" w:eastAsia="Times New Roman" w:hAnsi="Times New Roman" w:cs="Times New Roman"/>
          <w:b/>
          <w:color w:val="FF0000"/>
          <w:sz w:val="24"/>
          <w:szCs w:val="24"/>
          <w:highlight w:val="yellow"/>
          <w:lang w:val="x-none" w:eastAsia="ru-RU"/>
        </w:rPr>
        <w:t xml:space="preserve"> </w:t>
      </w:r>
      <w:r w:rsidR="005951CD">
        <w:rPr>
          <w:rFonts w:ascii="Times New Roman" w:eastAsia="Times New Roman" w:hAnsi="Times New Roman" w:cs="Times New Roman"/>
          <w:b/>
          <w:color w:val="FF0000"/>
          <w:sz w:val="24"/>
          <w:szCs w:val="24"/>
          <w:highlight w:val="yellow"/>
          <w:lang w:eastAsia="ru-RU"/>
        </w:rPr>
        <w:t>июн</w:t>
      </w:r>
      <w:r w:rsidR="00C11C97">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2"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2"/>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3"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признанию закупки 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3"/>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lastRenderedPageBreak/>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0EF887C6" w:rsidR="00564D79" w:rsidRPr="00D17A98" w:rsidRDefault="007C4AF4" w:rsidP="0077398A">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77398A" w:rsidRPr="0077398A">
        <w:t>Цыбина Валентина Вячеславовна</w:t>
      </w:r>
      <w:r w:rsidR="008A7929" w:rsidRPr="00AE0893">
        <w:t xml:space="preserve">, контактный телефон: </w:t>
      </w:r>
      <w:r w:rsidR="0077398A">
        <w:t>8 (953) 435-24-00</w:t>
      </w:r>
      <w:r w:rsidR="008A7929">
        <w:t>, эл. почта</w:t>
      </w:r>
      <w:r w:rsidR="008A7929" w:rsidRPr="00AE288F">
        <w:t>:</w:t>
      </w:r>
      <w:r w:rsidR="008A7929">
        <w:t xml:space="preserve"> </w:t>
      </w:r>
      <w:hyperlink r:id="rId12" w:history="1">
        <w:r w:rsidR="0077398A">
          <w:rPr>
            <w:rStyle w:val="a3"/>
            <w:lang w:val="en-US"/>
          </w:rPr>
          <w:t>tsybina</w:t>
        </w:r>
        <w:r w:rsidR="0077398A" w:rsidRPr="00F27ABE">
          <w:rPr>
            <w:rStyle w:val="a3"/>
            <w:lang w:val="ru-RU"/>
          </w:rPr>
          <w:t>@</w:t>
        </w:r>
        <w:r w:rsidR="0077398A">
          <w:rPr>
            <w:rStyle w:val="a3"/>
            <w:lang w:val="en-US"/>
          </w:rPr>
          <w:t>tulges</w:t>
        </w:r>
        <w:r w:rsidR="0077398A" w:rsidRPr="00F27ABE">
          <w:rPr>
            <w:rStyle w:val="a3"/>
            <w:lang w:val="ru-RU"/>
          </w:rPr>
          <w:t>.</w:t>
        </w:r>
        <w:r w:rsidR="0077398A">
          <w:rPr>
            <w:rStyle w:val="a3"/>
            <w:lang w:val="en-US"/>
          </w:rPr>
          <w:t>ru</w:t>
        </w:r>
      </w:hyperlink>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 xml:space="preserve">отнесение участника закупки к российским или иностранным лицам производится на основании документов участника закупки, содержащих информацию о </w:t>
      </w:r>
      <w:r w:rsidRPr="00CC6B17">
        <w:rPr>
          <w:rFonts w:ascii="Times New Roman" w:eastAsia="Calibri" w:hAnsi="Times New Roman" w:cs="Times New Roman"/>
          <w:bCs/>
          <w:kern w:val="2"/>
          <w:sz w:val="24"/>
          <w:szCs w:val="24"/>
        </w:rPr>
        <w:lastRenderedPageBreak/>
        <w:t>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 xml:space="preserve">в состав Заявки дополнительно включается копия соглашения между членами коллективного Участника. Соглашение должно удовлетворять следующим </w:t>
      </w:r>
      <w:r w:rsidRPr="00156BD8">
        <w:rPr>
          <w:sz w:val="24"/>
          <w:szCs w:val="24"/>
        </w:rPr>
        <w:lastRenderedPageBreak/>
        <w:t>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EFE1C49" w:rsidR="00FF5DD8"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p w14:paraId="558FFD8D" w14:textId="05C4C1DA" w:rsidR="005951CD" w:rsidRPr="00CE4134" w:rsidRDefault="007C03F4" w:rsidP="007C03F4">
      <w:pPr>
        <w:autoSpaceDE w:val="0"/>
        <w:autoSpaceDN w:val="0"/>
        <w:spacing w:after="0" w:line="240" w:lineRule="auto"/>
        <w:ind w:left="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p>
    <w:sectPr w:rsidR="005951CD"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07974"/>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6FCD"/>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0CD1"/>
    <w:rsid w:val="00432ECA"/>
    <w:rsid w:val="00434660"/>
    <w:rsid w:val="00440307"/>
    <w:rsid w:val="00466393"/>
    <w:rsid w:val="00470E31"/>
    <w:rsid w:val="0047751E"/>
    <w:rsid w:val="00481BA5"/>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B37"/>
    <w:rsid w:val="00550165"/>
    <w:rsid w:val="00552678"/>
    <w:rsid w:val="005533D2"/>
    <w:rsid w:val="005625E7"/>
    <w:rsid w:val="00564D79"/>
    <w:rsid w:val="005720FD"/>
    <w:rsid w:val="005951C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4B2B"/>
    <w:rsid w:val="0066353E"/>
    <w:rsid w:val="0067079E"/>
    <w:rsid w:val="00693D29"/>
    <w:rsid w:val="006A3739"/>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7398A"/>
    <w:rsid w:val="007801E5"/>
    <w:rsid w:val="007879E9"/>
    <w:rsid w:val="00790670"/>
    <w:rsid w:val="007A5989"/>
    <w:rsid w:val="007C03F4"/>
    <w:rsid w:val="007C4AF4"/>
    <w:rsid w:val="007C5118"/>
    <w:rsid w:val="007D0EF9"/>
    <w:rsid w:val="007D2ABD"/>
    <w:rsid w:val="007F3DAB"/>
    <w:rsid w:val="007F739F"/>
    <w:rsid w:val="00805EBC"/>
    <w:rsid w:val="00807DB1"/>
    <w:rsid w:val="00814C01"/>
    <w:rsid w:val="00820642"/>
    <w:rsid w:val="008206BF"/>
    <w:rsid w:val="00826675"/>
    <w:rsid w:val="00833249"/>
    <w:rsid w:val="00833C3E"/>
    <w:rsid w:val="008468A6"/>
    <w:rsid w:val="00863471"/>
    <w:rsid w:val="008741B7"/>
    <w:rsid w:val="00881787"/>
    <w:rsid w:val="00895558"/>
    <w:rsid w:val="008A19E1"/>
    <w:rsid w:val="008A4214"/>
    <w:rsid w:val="008A7929"/>
    <w:rsid w:val="008C2CA6"/>
    <w:rsid w:val="008D16C5"/>
    <w:rsid w:val="008F0543"/>
    <w:rsid w:val="009009F0"/>
    <w:rsid w:val="00902D14"/>
    <w:rsid w:val="00903248"/>
    <w:rsid w:val="0090552E"/>
    <w:rsid w:val="00906433"/>
    <w:rsid w:val="00913177"/>
    <w:rsid w:val="009214DE"/>
    <w:rsid w:val="00937213"/>
    <w:rsid w:val="009426AD"/>
    <w:rsid w:val="00954119"/>
    <w:rsid w:val="009568B2"/>
    <w:rsid w:val="00961A4F"/>
    <w:rsid w:val="009665D7"/>
    <w:rsid w:val="009715B1"/>
    <w:rsid w:val="00974636"/>
    <w:rsid w:val="00982E08"/>
    <w:rsid w:val="0099358E"/>
    <w:rsid w:val="00997C6C"/>
    <w:rsid w:val="009A04DF"/>
    <w:rsid w:val="009A7797"/>
    <w:rsid w:val="009C0332"/>
    <w:rsid w:val="009C3BD6"/>
    <w:rsid w:val="009D1C4B"/>
    <w:rsid w:val="009F1249"/>
    <w:rsid w:val="009F24D3"/>
    <w:rsid w:val="00A24FF3"/>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1C97"/>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DF7B1B"/>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27ABE"/>
    <w:rsid w:val="00F370A2"/>
    <w:rsid w:val="00F41C1D"/>
    <w:rsid w:val="00F4735C"/>
    <w:rsid w:val="00F536D0"/>
    <w:rsid w:val="00F61853"/>
    <w:rsid w:val="00F65B49"/>
    <w:rsid w:val="00F67D53"/>
    <w:rsid w:val="00F90C2D"/>
    <w:rsid w:val="00F92478"/>
    <w:rsid w:val="00FA1323"/>
    <w:rsid w:val="00FB2955"/>
    <w:rsid w:val="00FB7858"/>
    <w:rsid w:val="00FC26F4"/>
    <w:rsid w:val="00FC3A03"/>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ybina@tulge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A921-5ACA-453B-9841-05C0BFB7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2988</Words>
  <Characters>17035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61</cp:revision>
  <cp:lastPrinted>2024-03-21T06:22:00Z</cp:lastPrinted>
  <dcterms:created xsi:type="dcterms:W3CDTF">2024-10-22T07:52:00Z</dcterms:created>
  <dcterms:modified xsi:type="dcterms:W3CDTF">2026-06-01T05:27:00Z</dcterms:modified>
</cp:coreProperties>
</file>