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12"/>
          <w:szCs w:val="12"/>
        </w:rPr>
      </w:pPr>
      <w:r>
        <w:rPr>
          <w:b/>
          <w:bCs/>
          <w:sz w:val="12"/>
          <w:szCs w:val="12"/>
        </w:rPr>
      </w:r>
    </w:p>
    <w:p>
      <w:pPr>
        <w:pStyle w:val="Normal"/>
        <w:shd w:val="clear" w:color="auto" w:fill="FFFFFF"/>
        <w:tabs>
          <w:tab w:val="clear" w:pos="709"/>
          <w:tab w:val="right" w:pos="9639" w:leader="none"/>
        </w:tabs>
        <w:jc w:val="right"/>
        <w:rPr>
          <w:bCs/>
          <w:sz w:val="24"/>
          <w:szCs w:val="24"/>
        </w:rPr>
      </w:pPr>
      <w:r>
        <w:rPr>
          <w:bCs/>
          <w:sz w:val="24"/>
          <w:szCs w:val="24"/>
        </w:rPr>
        <w:t>г. Пятигорск</w:t>
        <w:tab/>
        <w:t xml:space="preserve">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Normal"/>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«Покупатель»), в лице директора Южного филиала АО «ТК РусГидро» Изотова Виталия Анатольевича</w:t>
      </w:r>
      <w:r>
        <w:rPr>
          <w:spacing w:val="4"/>
          <w:sz w:val="24"/>
          <w:szCs w:val="24"/>
        </w:rPr>
        <w:t xml:space="preserve">, действующего на основании доверенности от </w:t>
      </w:r>
      <w:r>
        <w:rPr>
          <w:spacing w:val="4"/>
          <w:sz w:val="24"/>
          <w:szCs w:val="24"/>
        </w:rPr>
        <w:t>______</w:t>
      </w:r>
      <w:r>
        <w:rPr>
          <w:spacing w:val="4"/>
          <w:sz w:val="24"/>
          <w:szCs w:val="24"/>
        </w:rPr>
        <w:t xml:space="preserve"> №</w:t>
      </w:r>
      <w:r>
        <w:rPr>
          <w:spacing w:val="4"/>
          <w:sz w:val="24"/>
          <w:szCs w:val="24"/>
        </w:rPr>
        <w:t>_____</w:t>
      </w:r>
      <w:r>
        <w:rPr>
          <w:spacing w:val="4"/>
          <w:sz w:val="24"/>
          <w:szCs w:val="24"/>
        </w:rPr>
        <w:t>,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по результатам проведенной Покупателем конкурентной процедуры </w:t>
      </w:r>
      <w:r>
        <w:rPr>
          <w:bCs/>
          <w:sz w:val="24"/>
          <w:szCs w:val="24"/>
        </w:rPr>
        <w:t>по лоту № ____________</w:t>
      </w:r>
      <w:r>
        <w:rPr>
          <w:sz w:val="24"/>
          <w:szCs w:val="24"/>
        </w:rPr>
        <w:t xml:space="preserve"> и на основании протокола от «___» _________ г. №_______,</w:t>
      </w:r>
    </w:p>
    <w:p>
      <w:pPr>
        <w:pStyle w:val="Normal"/>
        <w:ind w:firstLine="709"/>
        <w:jc w:val="both"/>
        <w:rPr>
          <w:b w:val="false"/>
          <w:bCs w:val="false"/>
        </w:rPr>
      </w:pPr>
      <w:r>
        <w:rPr>
          <w:b w:val="false"/>
          <w:bCs w:val="false"/>
          <w:spacing w:val="10"/>
          <w:sz w:val="24"/>
          <w:szCs w:val="24"/>
        </w:rPr>
        <w:t>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center"/>
        <w:rPr>
          <w:sz w:val="12"/>
          <w:szCs w:val="12"/>
        </w:rPr>
      </w:pPr>
      <w:r>
        <w:rPr>
          <w:sz w:val="12"/>
          <w:szCs w:val="12"/>
        </w:rPr>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w:t>
        <w:br/>
        <w:t>№ТОРГ-2 «Акт об установленном расхождении по количеству и качеству при приемке товарно-материальных ценностей» и № ТОРГ-3 «Акт об установленном расхождении</w:t>
        <w:br/>
        <w:t>по количеству и качеству при приемке импортных товаров», утвержденным постановлением Госкомстата РФ от 25.12.1998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w:t>
        <w:b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w:t>
        <w:br/>
        <w:t>№ТОРГ-12 «Товарная накладная», утвержденной постановлением Госкомстата РФ</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sectPr>
          <w:headerReference w:type="default" r:id="rId2"/>
          <w:footnotePr>
            <w:numFmt w:val="decimal"/>
          </w:footnotePr>
          <w:type w:val="nextPage"/>
          <w:pgSz w:w="11906" w:h="16838"/>
          <w:pgMar w:left="1418" w:right="851" w:gutter="0" w:header="709" w:top="1134" w:footer="0" w:bottom="1134"/>
          <w:pgNumType w:fmt="decimal"/>
          <w:formProt w:val="false"/>
          <w:textDirection w:val="lrTb"/>
          <w:docGrid w:type="default" w:linePitch="360" w:charSpace="8192"/>
        </w:sect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12"/>
          <w:szCs w:val="12"/>
        </w:rPr>
      </w:pPr>
      <w:r>
        <w:rPr>
          <w:sz w:val="12"/>
          <w:szCs w:val="12"/>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250" w:leader="none"/>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12"/>
          <w:szCs w:val="12"/>
          <w:highlight w:val="lightGray"/>
        </w:rPr>
      </w:pPr>
      <w:r>
        <w:rPr>
          <w:sz w:val="12"/>
          <w:szCs w:val="12"/>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Normal"/>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Стоимость тары и упаковки включена в стоимость Товара. Тара и упаковка возврату</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и перемещение Товара (в том числе</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12"/>
          <w:szCs w:val="12"/>
        </w:rPr>
      </w:pPr>
      <w:r>
        <w:rPr>
          <w:sz w:val="12"/>
          <w:szCs w:val="12"/>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0"/>
          <w:numId w:val="0"/>
        </w:numPr>
        <w:shd w:val="clear" w:color="auto" w:fill="FFFFFF"/>
        <w:ind w:left="0" w:hanging="0"/>
        <w:jc w:val="center"/>
        <w:rPr>
          <w:sz w:val="12"/>
          <w:szCs w:val="12"/>
        </w:rPr>
      </w:pPr>
      <w:r>
        <w:rPr>
          <w:sz w:val="12"/>
          <w:szCs w:val="12"/>
        </w:rPr>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12"/>
          <w:szCs w:val="12"/>
        </w:rPr>
      </w:pPr>
      <w:r>
        <w:rPr>
          <w:sz w:val="12"/>
          <w:szCs w:val="12"/>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Normal"/>
        <w:numPr>
          <w:ilvl w:val="0"/>
          <w:numId w:val="0"/>
        </w:numPr>
        <w:shd w:val="clear" w:color="auto" w:fill="FFFFFF"/>
        <w:ind w:left="0" w:hanging="0"/>
        <w:jc w:val="center"/>
        <w:rPr>
          <w:sz w:val="12"/>
          <w:szCs w:val="12"/>
        </w:rPr>
      </w:pPr>
      <w:r>
        <w:rPr>
          <w:sz w:val="12"/>
          <w:szCs w:val="12"/>
        </w:rPr>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но не более 5 (пяти) процентов от несвоевременно оплаченной суммы.</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Если в результате составления и выставления Поставщиком счетов-фактур</w:t>
        <w:br/>
        <w:t>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w:t>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Поставщик несет ответственность перед Покупателем за причиненный ущерб</w:t>
        <w:br/>
        <w:t>в размере фактически понесенных и документально подтвержденных расходов, возникших</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w:t>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12"/>
          <w:szCs w:val="12"/>
        </w:rPr>
      </w:pPr>
      <w:r>
        <w:rPr>
          <w:sz w:val="12"/>
          <w:szCs w:val="12"/>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0"/>
          <w:numId w:val="0"/>
        </w:numPr>
        <w:shd w:val="clear" w:color="auto" w:fill="FFFFFF"/>
        <w:tabs>
          <w:tab w:val="clear" w:pos="709"/>
          <w:tab w:val="left" w:pos="0" w:leader="none"/>
        </w:tabs>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не относится к категории общедоступной</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Условия Договора и сам факт его заключения составляют Информацию</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Поставщиках, поставщиках оборудования и материалов, а также</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не обсуждать содержание, не предоставлять копий,</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w:t>
        <w:br/>
        <w:t>на технических средствах Поставщика. При этом Покупатель признает, что обязательства</w:t>
        <w:br/>
        <w:t>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Раскрывать Информацию своим работникам, членам органов управления</w:t>
        <w:br/>
        <w:t>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12"/>
          <w:szCs w:val="12"/>
        </w:rPr>
      </w:pPr>
      <w:r>
        <w:rPr>
          <w:bCs/>
          <w:sz w:val="12"/>
          <w:szCs w:val="12"/>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Все споры, разногласия и требования, возникающие между Сторонами</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Ставропольского края</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для рассмотрения претензии – 15 (пятнадцать) рабочих дней со дня</w:t>
        <w:br/>
        <w:t>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12"/>
          <w:szCs w:val="12"/>
        </w:rPr>
      </w:pPr>
      <w:r>
        <w:rPr>
          <w:sz w:val="12"/>
          <w:szCs w:val="12"/>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0"/>
          <w:numId w:val="0"/>
        </w:numPr>
        <w:shd w:val="clear" w:color="auto" w:fill="FFFFFF"/>
        <w:ind w:left="0" w:hanging="0"/>
        <w:jc w:val="center"/>
        <w:rPr>
          <w:sz w:val="12"/>
          <w:szCs w:val="12"/>
        </w:rPr>
      </w:pPr>
      <w:r>
        <w:rPr>
          <w:sz w:val="12"/>
          <w:szCs w:val="12"/>
        </w:rPr>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12"/>
          <w:szCs w:val="12"/>
        </w:rPr>
      </w:pPr>
      <w:r>
        <w:rPr>
          <w:b/>
          <w:bCs/>
          <w:sz w:val="12"/>
          <w:szCs w:val="12"/>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0"/>
          <w:numId w:val="0"/>
        </w:numPr>
        <w:shd w:val="clear" w:color="auto" w:fill="FFFFFF"/>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w:t>
        <w:br/>
        <w:t>в одностороннем внесудебном порядке.</w:t>
      </w:r>
    </w:p>
    <w:p>
      <w:pPr>
        <w:pStyle w:val="Normal"/>
        <w:shd w:val="clear" w:color="auto" w:fill="FFFFFF"/>
        <w:ind w:firstLine="709"/>
        <w:jc w:val="both"/>
        <w:rPr>
          <w:sz w:val="12"/>
          <w:szCs w:val="12"/>
        </w:rPr>
      </w:pPr>
      <w:r>
        <w:rPr>
          <w:sz w:val="12"/>
          <w:szCs w:val="12"/>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0"/>
          <w:numId w:val="0"/>
        </w:numPr>
        <w:shd w:val="clear" w:color="auto" w:fill="FFFFFF"/>
        <w:spacing w:before="0" w:after="0"/>
        <w:ind w:left="0" w:hanging="0"/>
        <w:contextualSpacing/>
        <w:jc w:val="center"/>
        <w:rPr>
          <w:sz w:val="12"/>
          <w:szCs w:val="12"/>
        </w:rPr>
      </w:pPr>
      <w:r>
        <w:rPr>
          <w:sz w:val="12"/>
          <w:szCs w:val="12"/>
        </w:rPr>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br/>
        <w:t xml:space="preserve">и от 25.05.2010 </w:t>
      </w:r>
      <w:hyperlink r:id="rId4">
        <w:r>
          <w:rPr>
            <w:bCs/>
            <w:sz w:val="24"/>
            <w:szCs w:val="24"/>
          </w:rPr>
          <w:t>№ 15658/09</w:t>
        </w:r>
      </w:hyperlink>
      <w:r>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5">
        <w:r>
          <w:rPr>
            <w:bCs/>
            <w:sz w:val="24"/>
            <w:szCs w:val="24"/>
          </w:rPr>
          <w:t>Критери</w:t>
        </w:r>
      </w:hyperlink>
      <w:r>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Поставщик обязуется незамедлительно уведомить Покупателя о появлении</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w:t>
        <w:br/>
        <w:t>от Договора путем направления уведомления об отказе от Договора (исполнения Договора)</w:t>
        <w:br/>
        <w:t>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Штраф, предусмотренный пунктом 10.4 Договора, оплачивается Поставщиком</w:t>
        <w:br/>
        <w:t>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При заключении и исполнении Договора каждая Сторона полагается</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12"/>
          <w:szCs w:val="12"/>
        </w:rPr>
      </w:pPr>
      <w:r>
        <w:rPr>
          <w:sz w:val="12"/>
          <w:szCs w:val="12"/>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При прекращении (расторжении) Договора по основаниям, указанным</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12"/>
          <w:szCs w:val="12"/>
        </w:rPr>
      </w:pPr>
      <w:r>
        <w:rPr>
          <w:sz w:val="12"/>
          <w:szCs w:val="12"/>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подписания Сторонами и действует</w:t>
        <w:br/>
        <w:t xml:space="preserve">до полного исполнения ими принятых на себя обязательств. </w:t>
      </w:r>
      <w:r>
        <w:rPr>
          <w:sz w:val="24"/>
          <w:szCs w:val="24"/>
          <w:highlight w:val="lightGray"/>
        </w:rPr>
        <w:t>В соответствии с пунктом 2 статьи 425 ГК РФ, условия Договора применяются к отношениям Сторон, возникшим</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w:t>
        <w:br/>
        <w:t>с исполнением Договора, включая уведомления и иные сообщения, осуществляется только</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533" w:leader="none"/>
        </w:tabs>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3" w:leader="none"/>
        </w:tabs>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533"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Уступка (передача), в том числе в залог, прав (требований) к Покупателю</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12"/>
          <w:szCs w:val="12"/>
        </w:rPr>
      </w:pPr>
      <w:r>
        <w:rPr>
          <w:sz w:val="12"/>
          <w:szCs w:val="12"/>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numPr>
          <w:ilvl w:val="0"/>
          <w:numId w:val="0"/>
        </w:numPr>
        <w:shd w:val="clear" w:color="auto" w:fill="FFFFFF"/>
        <w:spacing w:before="0" w:after="0"/>
        <w:ind w:left="0" w:hanging="0"/>
        <w:contextualSpacing/>
        <w:jc w:val="center"/>
        <w:rPr>
          <w:sz w:val="12"/>
          <w:szCs w:val="12"/>
        </w:rPr>
      </w:pPr>
      <w:r>
        <w:rPr>
          <w:sz w:val="12"/>
          <w:szCs w:val="12"/>
        </w:rPr>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numPr>
          <w:ilvl w:val="0"/>
          <w:numId w:val="0"/>
        </w:numPr>
        <w:shd w:val="clear" w:color="auto" w:fill="FFFFFF"/>
        <w:ind w:left="0" w:hanging="0"/>
        <w:jc w:val="center"/>
        <w:rPr>
          <w:sz w:val="12"/>
          <w:szCs w:val="12"/>
        </w:rPr>
      </w:pPr>
      <w:r>
        <w:rPr>
          <w:sz w:val="12"/>
          <w:szCs w:val="12"/>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0"/>
        <w:gridCol w:w="31"/>
        <w:gridCol w:w="5078"/>
      </w:tblGrid>
      <w:tr>
        <w:trPr/>
        <w:tc>
          <w:tcPr>
            <w:tcW w:w="4811" w:type="dxa"/>
            <w:gridSpan w:val="2"/>
            <w:tcBorders/>
          </w:tcPr>
          <w:p>
            <w:pPr>
              <w:pStyle w:val="Normal"/>
              <w:widowControl w:val="false"/>
              <w:rPr>
                <w:b/>
                <w:bCs/>
              </w:rPr>
            </w:pPr>
            <w:r>
              <w:rPr>
                <w:b/>
                <w:bCs/>
                <w:sz w:val="24"/>
                <w:szCs w:val="24"/>
              </w:rPr>
              <w:t>ПОКУПАТЕЛЬ:</w:t>
            </w:r>
          </w:p>
        </w:tc>
        <w:tc>
          <w:tcPr>
            <w:tcW w:w="5078" w:type="dxa"/>
            <w:tcBorders/>
          </w:tcPr>
          <w:p>
            <w:pPr>
              <w:pStyle w:val="Normal"/>
              <w:widowControl w:val="false"/>
              <w:rPr>
                <w:b/>
                <w:bCs/>
              </w:rPr>
            </w:pPr>
            <w:r>
              <w:rPr>
                <w:b/>
                <w:bCs/>
                <w:sz w:val="24"/>
                <w:szCs w:val="24"/>
              </w:rPr>
              <w:t>ПОСТАВЩИК:</w:t>
            </w:r>
          </w:p>
        </w:tc>
      </w:tr>
      <w:tr>
        <w:trPr/>
        <w:tc>
          <w:tcPr>
            <w:tcW w:w="4811" w:type="dxa"/>
            <w:gridSpan w:val="2"/>
            <w:tcBorders/>
            <w:shd w:color="auto" w:fill="BFBFBF"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rPr>
              <w:t>БИК 044525823 к/с 30101810200000000823</w:t>
            </w:r>
          </w:p>
        </w:tc>
        <w:tc>
          <w:tcPr>
            <w:tcW w:w="5078" w:type="dxa"/>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0" w:type="dxa"/>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rPr>
                <w:rFonts w:ascii="Times New Roman" w:hAnsi="Times New Roman" w:cs="Times New Roman"/>
                <w:sz w:val="24"/>
                <w:szCs w:val="24"/>
              </w:rPr>
            </w:pPr>
            <w:r>
              <w:rPr>
                <w:rFonts w:cs="Times New Roman" w:ascii="Times New Roman" w:hAnsi="Times New Roman"/>
                <w:sz w:val="24"/>
                <w:szCs w:val="24"/>
                <w:highlight w:val="lightGray"/>
              </w:rPr>
              <w:t>_______________ В.А. Изотов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highlight w:val="lightGray"/>
              </w:rPr>
              <w:t>МП</w:t>
            </w:r>
          </w:p>
        </w:tc>
        <w:tc>
          <w:tcPr>
            <w:tcW w:w="5109" w:type="dxa"/>
            <w:gridSpan w:val="2"/>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__.__.________________</w:t>
            </w:r>
          </w:p>
          <w:p>
            <w:pPr>
              <w:pStyle w:val="Normal"/>
              <w:widowControl w:val="false"/>
              <w:rPr>
                <w:sz w:val="24"/>
                <w:szCs w:val="24"/>
              </w:rPr>
            </w:pPr>
            <w:r>
              <w:rPr>
                <w:sz w:val="24"/>
                <w:szCs w:val="24"/>
              </w:rPr>
              <w:t>МП</w:t>
            </w:r>
          </w:p>
        </w:tc>
      </w:tr>
    </w:tbl>
    <w:p>
      <w:pPr>
        <w:sectPr>
          <w:headerReference w:type="default" r:id="rId6"/>
          <w:headerReference w:type="first" r:id="rId7"/>
          <w:footerReference w:type="default" r:id="rId8"/>
          <w:footnotePr>
            <w:numFmt w:val="decimal"/>
          </w:footnotePr>
          <w:type w:val="nextPage"/>
          <w:pgSz w:w="11906" w:h="16838"/>
          <w:pgMar w:left="1418" w:right="851" w:gutter="0" w:header="709" w:top="1276" w:footer="709" w:bottom="1134"/>
          <w:pgNumType w:fmt="decimal"/>
          <w:formProt w:val="false"/>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0317"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5"/>
        <w:gridCol w:w="604"/>
        <w:gridCol w:w="611"/>
        <w:gridCol w:w="613"/>
        <w:gridCol w:w="769"/>
        <w:gridCol w:w="732"/>
        <w:gridCol w:w="618"/>
        <w:gridCol w:w="730"/>
        <w:gridCol w:w="689"/>
        <w:gridCol w:w="514"/>
        <w:gridCol w:w="646"/>
        <w:gridCol w:w="551"/>
        <w:gridCol w:w="514"/>
        <w:gridCol w:w="716"/>
        <w:gridCol w:w="1164"/>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jc w:val="both"/>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 /документы, расчеты, обосновывающие стоимость доставки.</w:t>
      </w:r>
      <w:r>
        <w:rPr>
          <w:i/>
          <w:sz w:val="22"/>
          <w:szCs w:val="22"/>
        </w:rPr>
        <w:t xml:space="preserve"> </w:t>
      </w:r>
    </w:p>
    <w:p>
      <w:pPr>
        <w:pStyle w:val="Normal"/>
        <w:ind w:firstLine="709"/>
        <w:jc w:val="both"/>
        <w:rPr>
          <w:i/>
          <w:i/>
          <w:sz w:val="24"/>
          <w:szCs w:val="24"/>
        </w:rPr>
      </w:pPr>
      <w:r>
        <w:rPr>
          <w:i/>
          <w:sz w:val="24"/>
          <w:szCs w:val="24"/>
        </w:rPr>
        <w:t xml:space="preserve"> </w:t>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8"/>
        <w:gridCol w:w="704"/>
        <w:gridCol w:w="1066"/>
        <w:gridCol w:w="1174"/>
        <w:gridCol w:w="982"/>
        <w:gridCol w:w="1404"/>
        <w:gridCol w:w="838"/>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2.4.1_ЮФ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p>
    <w:pPr>
      <w:pStyle w:val="Header"/>
      <w:jc w:val="right"/>
      <w:rPr/>
    </w:pPr>
    <w:r>
      <w:rPr/>
      <w:t>ТФД 2.4.1_ЮФ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p>
    <w:pPr>
      <w:pStyle w:val="Header"/>
      <w:jc w:val="right"/>
      <w:rPr/>
    </w:pPr>
    <w:r>
      <w:rPr/>
      <w:t>ТФД 2.4.1_ЮФ</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8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AlterOffice/3.4.0.9$Linux_X86_64 LibreOffice_project/b8daf9e823b1a5463a2f48435ddc2e8696e7d4fc</Application>
  <AppVersion>15.0000</AppVersion>
  <Pages>19</Pages>
  <Words>7263</Words>
  <Characters>51435</Characters>
  <CharactersWithSpaces>58340</CharactersWithSpaces>
  <Paragraphs>382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schigarevnn@corp.gidroogk.com</cp:lastModifiedBy>
  <cp:lastPrinted>2018-05-22T09:46:00Z</cp:lastPrinted>
  <dcterms:modified xsi:type="dcterms:W3CDTF">2026-06-01T11:40:33Z</dcterms:modified>
  <cp:revision>17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