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4"/>
          <w:szCs w:val="24"/>
        </w:rPr>
        <w:t xml:space="preserve"> </w:t>
      </w:r>
      <w:r>
        <w:rPr>
          <w:b/>
          <w:bCs/>
          <w:sz w:val="24"/>
          <w:szCs w:val="24"/>
        </w:rPr>
        <w:t xml:space="preserve">Договор поставки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Петропавловск-Камчатский</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обязуется в порядке и сроки, установленные Договором, передать в собственность Покупателю ветошь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Камчатского филиала АО «ТК РусГидро».</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Окончание – до 31.12.202</w:t>
      </w:r>
      <w:r>
        <w:rPr>
          <w:bCs/>
          <w:sz w:val="24"/>
          <w:szCs w:val="24"/>
        </w:rPr>
        <w:t>7</w:t>
      </w:r>
      <w:r>
        <w:rPr>
          <w:bCs/>
          <w:sz w:val="24"/>
          <w:szCs w:val="24"/>
        </w:rPr>
        <w:t xml:space="preserve"> года или до исчерпания предельной стоимости договора, в зависимости от того, что наступит раньше.</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Поставка Товара осуществляется в срок не более 40 (сорока) календарных дней с даты подписания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Место поставки: Камчатский край, город Петропавловск-Камчатский, ул. Степная, 50.</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Приобретение Товара;</w:t>
      </w:r>
    </w:p>
    <w:p>
      <w:pPr>
        <w:pStyle w:val="ListParagraph"/>
        <w:numPr>
          <w:ilvl w:val="2"/>
          <w:numId w:val="8"/>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Оплата по Договору осуществляется Покупателем в следующем порядке:</w:t>
      </w:r>
    </w:p>
    <w:p>
      <w:pPr>
        <w:pStyle w:val="ListParagraph"/>
        <w:widowControl/>
        <w:numPr>
          <w:ilvl w:val="2"/>
          <w:numId w:val="2"/>
        </w:numPr>
        <w:shd w:val="clear" w:color="auto" w:fill="FFFFFF"/>
        <w:tabs>
          <w:tab w:val="clear" w:pos="709"/>
          <w:tab w:val="left" w:pos="1134" w:leader="none"/>
        </w:tabs>
        <w:ind w:left="0" w:firstLine="709"/>
        <w:jc w:val="both"/>
        <w:rPr>
          <w:sz w:val="24"/>
          <w:szCs w:val="24"/>
        </w:rPr>
      </w:pPr>
      <w:r>
        <w:rPr>
          <w:sz w:val="24"/>
          <w:szCs w:val="24"/>
        </w:rPr>
        <w:t>Авансовый платеж в размере 30 % от Цены Договора выплачивается в течение 30 (тридцати) календарных дней с даты подписания Договора и получения Покупателем счета, выставленного Поставщиком.</w:t>
      </w:r>
    </w:p>
    <w:p>
      <w:pPr>
        <w:pStyle w:val="ListParagraph"/>
        <w:widowControl/>
        <w:numPr>
          <w:ilvl w:val="2"/>
          <w:numId w:val="2"/>
        </w:numPr>
        <w:shd w:val="clear" w:color="auto" w:fill="FFFFFF"/>
        <w:tabs>
          <w:tab w:val="clear" w:pos="709"/>
          <w:tab w:val="left" w:pos="1134" w:leader="none"/>
        </w:tabs>
        <w:ind w:left="0" w:firstLine="709"/>
        <w:jc w:val="both"/>
        <w:rPr>
          <w:sz w:val="24"/>
          <w:szCs w:val="24"/>
        </w:rPr>
      </w:pPr>
      <w:r>
        <w:rPr>
          <w:sz w:val="24"/>
          <w:szCs w:val="24"/>
        </w:rPr>
        <w:t xml:space="preserve">Оплата Товара по Договору производится Покупателем с учетом выплаченного авансового платежа в </w:t>
      </w:r>
      <w:r>
        <w:rPr>
          <w:sz w:val="24"/>
          <w:szCs w:val="24"/>
        </w:rPr>
        <w:t xml:space="preserve">течение </w:t>
      </w:r>
      <w:r>
        <w:rPr>
          <w:sz w:val="24"/>
          <w:szCs w:val="24"/>
          <w:highlight w:val="lightGray"/>
        </w:rPr>
        <w:t>20 (двадцати) календарных дней / 7 (семи) рабочих дней</w:t>
      </w:r>
      <w:r>
        <w:rPr>
          <w:sz w:val="24"/>
          <w:szCs w:val="24"/>
        </w:rPr>
        <w:t xml:space="preserve"> с даты подписания акта сдачи-приемки Товара, товарной накладной (ТОРГ-12) или универсального передаточного документа (УПД) на поставленный Товар, на основании счета, выставленного Поставщиком, и с учетом пункта 2.5.3 Договора</w:t>
      </w:r>
    </w:p>
    <w:p>
      <w:pPr>
        <w:pStyle w:val="ListParagraph"/>
        <w:widowControl/>
        <w:numPr>
          <w:ilvl w:val="2"/>
          <w:numId w:val="2"/>
        </w:numPr>
        <w:shd w:val="clear" w:color="auto" w:fill="FFFFFF"/>
        <w:tabs>
          <w:tab w:val="clear" w:pos="709"/>
          <w:tab w:val="left" w:pos="1134"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ind w:left="0" w:firstLine="709"/>
        <w:jc w:val="both"/>
        <w:rPr>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rPr>
      </w:pPr>
      <w:r>
        <w:rPr>
          <w:sz w:val="24"/>
          <w:szCs w:val="24"/>
        </w:rPr>
      </w:r>
    </w:p>
    <w:p>
      <w:pPr>
        <w:pStyle w:val="ListParagraph"/>
        <w:shd w:val="clear" w:color="auto" w:fill="FFFFFF"/>
        <w:ind w:left="709"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w:t>
      </w:r>
      <w:r>
        <w:rPr>
          <w:sz w:val="24"/>
          <w:szCs w:val="24"/>
        </w:rPr>
        <w:t>___________________</w:t>
      </w:r>
      <w:r>
        <w:rPr>
          <w:sz w:val="24"/>
          <w:szCs w:val="24"/>
        </w:rPr>
        <w:t>с последующим направлением оригинала Заявки по адресу, указанному в разделе 16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r>
        <w:rPr>
          <w:sz w:val="24"/>
          <w:szCs w:val="24"/>
          <w:lang w:val="en-US"/>
        </w:rPr>
        <w:t>putintsevaa</w:t>
      </w:r>
      <w:r>
        <w:rPr>
          <w:sz w:val="24"/>
          <w:szCs w:val="24"/>
        </w:rPr>
        <w:t>@</w:t>
      </w:r>
      <w:r>
        <w:rPr>
          <w:sz w:val="24"/>
          <w:szCs w:val="24"/>
          <w:lang w:val="en-US"/>
        </w:rPr>
        <w:t>rushydro</w:t>
      </w:r>
      <w:r>
        <w:rPr>
          <w:sz w:val="24"/>
          <w:szCs w:val="24"/>
        </w:rPr>
        <w:t>.</w:t>
      </w:r>
      <w:r>
        <w:rPr>
          <w:sz w:val="24"/>
          <w:szCs w:val="24"/>
          <w:lang w:val="en-US"/>
        </w:rPr>
        <w:t>ru</w:t>
      </w:r>
      <w:r>
        <w:rPr>
          <w:sz w:val="24"/>
          <w:szCs w:val="24"/>
        </w:rPr>
        <w:t xml:space="preserve"> с последующим направлением письменного ответа по адресу, указанному в разделе 16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Покупатель не позднее 7 (семи)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sz w:val="24"/>
          <w:szCs w:val="24"/>
        </w:rPr>
        <w:t xml:space="preserve"> 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09"/>
          <w:tab w:val="left" w:pos="1418" w:leader="none"/>
        </w:tabs>
        <w:ind w:left="0" w:firstLine="709"/>
        <w:jc w:val="both"/>
        <w:rPr>
          <w:sz w:val="24"/>
          <w:szCs w:val="24"/>
        </w:rPr>
      </w:pPr>
      <w:r>
        <w:rPr>
          <w:sz w:val="24"/>
          <w:szCs w:val="24"/>
        </w:rPr>
        <w:t>сертификат качества,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 ( по запросу);</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счет-фактуру или универсальный передаточный документ (УПД) в 2 (двух)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 в 1 (одном)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не менее 12 (двенадцати)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9"/>
          <w:tab w:val="left" w:pos="0" w:leader="none"/>
          <w:tab w:val="left" w:pos="284" w:leader="none"/>
          <w:tab w:val="left" w:pos="567" w:leader="none"/>
        </w:tabs>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9" w:name="_Ref361337900"/>
      <w:r>
        <w:rPr>
          <w:bCs/>
          <w:sz w:val="24"/>
          <w:szCs w:val="24"/>
        </w:rPr>
        <w:t>. 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9"/>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5"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15"/>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4786"/>
        <w:gridCol w:w="211"/>
      </w:tblGrid>
      <w:tr>
        <w:trPr>
          <w:trHeight w:val="239" w:hRule="atLeast"/>
        </w:trPr>
        <w:tc>
          <w:tcPr>
            <w:tcW w:w="4784" w:type="dxa"/>
            <w:tcBorders/>
          </w:tcPr>
          <w:p>
            <w:pPr>
              <w:pStyle w:val="Normal"/>
              <w:widowControl w:val="false"/>
              <w:rPr>
                <w:b/>
                <w:sz w:val="24"/>
                <w:szCs w:val="24"/>
              </w:rPr>
            </w:pPr>
            <w:r>
              <w:rPr>
                <w:b/>
                <w:sz w:val="24"/>
                <w:szCs w:val="24"/>
              </w:rPr>
              <w:t>Покупатель:</w:t>
            </w:r>
          </w:p>
        </w:tc>
        <w:tc>
          <w:tcPr>
            <w:tcW w:w="4997" w:type="dxa"/>
            <w:gridSpan w:val="2"/>
            <w:tcBorders/>
          </w:tcPr>
          <w:p>
            <w:pPr>
              <w:pStyle w:val="Normal"/>
              <w:widowControl w:val="false"/>
              <w:rPr>
                <w:b/>
                <w:sz w:val="24"/>
                <w:szCs w:val="24"/>
              </w:rPr>
            </w:pPr>
            <w:r>
              <w:rPr>
                <w:b/>
                <w:sz w:val="24"/>
                <w:szCs w:val="24"/>
              </w:rPr>
              <w:t>Поставщик:</w:t>
            </w:r>
          </w:p>
        </w:tc>
      </w:tr>
      <w:tr>
        <w:trPr>
          <w:trHeight w:val="239" w:hRule="atLeast"/>
        </w:trPr>
        <w:tc>
          <w:tcPr>
            <w:tcW w:w="4784" w:type="dxa"/>
            <w:tcBorders/>
          </w:tcPr>
          <w:p>
            <w:pPr>
              <w:pStyle w:val="Normal"/>
              <w:widowControl w:val="false"/>
              <w:rPr>
                <w:sz w:val="24"/>
                <w:szCs w:val="24"/>
              </w:rPr>
            </w:pPr>
            <w:r>
              <w:rPr>
                <w:sz w:val="24"/>
                <w:szCs w:val="24"/>
              </w:rPr>
            </w:r>
          </w:p>
        </w:tc>
        <w:tc>
          <w:tcPr>
            <w:tcW w:w="4786" w:type="dxa"/>
            <w:tcBorders/>
          </w:tcPr>
          <w:p>
            <w:pPr>
              <w:pStyle w:val="Normal"/>
              <w:widowControl w:val="false"/>
              <w:rPr>
                <w:sz w:val="24"/>
                <w:szCs w:val="24"/>
              </w:rPr>
            </w:pPr>
            <w:r>
              <w:rPr>
                <w:sz w:val="24"/>
                <w:szCs w:val="24"/>
              </w:rPr>
            </w:r>
          </w:p>
        </w:tc>
        <w:tc>
          <w:tcPr>
            <w:tcW w:w="211" w:type="dxa"/>
            <w:tcBorders/>
          </w:tcPr>
          <w:p>
            <w:pPr>
              <w:pStyle w:val="Normal"/>
              <w:widowControl w:val="false"/>
              <w:rPr/>
            </w:pPr>
            <w:r>
              <w:rPr/>
            </w:r>
          </w:p>
        </w:tc>
      </w:tr>
      <w:tr>
        <w:trPr>
          <w:trHeight w:val="239" w:hRule="atLeast"/>
        </w:trPr>
        <w:tc>
          <w:tcPr>
            <w:tcW w:w="4784" w:type="dxa"/>
            <w:tcBorders/>
          </w:tcPr>
          <w:p>
            <w:pPr>
              <w:pStyle w:val="Normal"/>
              <w:widowControl w:val="false"/>
              <w:rPr>
                <w:b/>
                <w:bCs/>
                <w:sz w:val="24"/>
                <w:szCs w:val="24"/>
              </w:rPr>
            </w:pPr>
            <w:r>
              <w:rPr>
                <w:b/>
                <w:bCs/>
                <w:sz w:val="24"/>
                <w:szCs w:val="24"/>
              </w:rPr>
              <w:t>Акционерное общество</w:t>
            </w:r>
          </w:p>
          <w:p>
            <w:pPr>
              <w:pStyle w:val="Normal"/>
              <w:widowControl w:val="false"/>
              <w:rPr>
                <w:b/>
                <w:bCs/>
                <w:sz w:val="24"/>
                <w:szCs w:val="24"/>
              </w:rPr>
            </w:pPr>
            <w:r>
              <w:rPr>
                <w:b/>
                <w:bCs/>
                <w:sz w:val="24"/>
                <w:szCs w:val="24"/>
              </w:rPr>
              <w:t>«Транспортная компания РусГидро»</w:t>
            </w:r>
          </w:p>
          <w:p>
            <w:pPr>
              <w:pStyle w:val="Normal"/>
              <w:widowControl w:val="false"/>
              <w:rPr>
                <w:b/>
                <w:bCs/>
                <w:sz w:val="24"/>
                <w:szCs w:val="24"/>
                <w:u w:val="single"/>
              </w:rPr>
            </w:pPr>
            <w:r>
              <w:rPr>
                <w:b/>
                <w:bCs/>
                <w:sz w:val="24"/>
                <w:szCs w:val="24"/>
              </w:rPr>
              <w:t>(АО «ТК РусГидро»)</w:t>
            </w:r>
          </w:p>
          <w:p>
            <w:pPr>
              <w:pStyle w:val="Normal"/>
              <w:widowControl w:val="false"/>
              <w:rPr>
                <w:sz w:val="24"/>
                <w:szCs w:val="24"/>
              </w:rPr>
            </w:pPr>
            <w:r>
              <w:rPr>
                <w:sz w:val="24"/>
                <w:szCs w:val="24"/>
              </w:rPr>
              <w:t>Юридический адрес: 655619, Республика Хакасия, г. Саяногорск, рп. Черемушки, дом 101</w:t>
            </w:r>
          </w:p>
          <w:p>
            <w:pPr>
              <w:pStyle w:val="Normal"/>
              <w:widowControl w:val="false"/>
              <w:rPr>
                <w:sz w:val="24"/>
                <w:szCs w:val="24"/>
              </w:rPr>
            </w:pPr>
            <w:r>
              <w:rPr>
                <w:sz w:val="24"/>
                <w:szCs w:val="24"/>
              </w:rPr>
              <w:t>ОГРН: 1031900676356;</w:t>
            </w:r>
          </w:p>
          <w:p>
            <w:pPr>
              <w:pStyle w:val="Normal"/>
              <w:widowControl w:val="false"/>
              <w:rPr>
                <w:sz w:val="24"/>
                <w:szCs w:val="24"/>
              </w:rPr>
            </w:pPr>
            <w:r>
              <w:rPr>
                <w:sz w:val="24"/>
                <w:szCs w:val="24"/>
              </w:rPr>
              <w:t>ИНН: 1902018248; КПП: 190201001;</w:t>
            </w:r>
          </w:p>
          <w:p>
            <w:pPr>
              <w:pStyle w:val="Normal"/>
              <w:widowControl w:val="false"/>
              <w:rPr>
                <w:sz w:val="24"/>
                <w:szCs w:val="24"/>
              </w:rPr>
            </w:pPr>
            <w:r>
              <w:rPr>
                <w:sz w:val="24"/>
                <w:szCs w:val="24"/>
              </w:rPr>
              <w:t>р/с 40702 810 7 9500 0000002</w:t>
            </w:r>
          </w:p>
          <w:p>
            <w:pPr>
              <w:pStyle w:val="Normal"/>
              <w:widowControl w:val="false"/>
              <w:rPr>
                <w:sz w:val="24"/>
                <w:szCs w:val="24"/>
              </w:rPr>
            </w:pPr>
            <w:r>
              <w:rPr>
                <w:sz w:val="24"/>
                <w:szCs w:val="24"/>
              </w:rPr>
              <w:t xml:space="preserve">«Газпромбанк» (Акционерное общество) </w:t>
            </w:r>
          </w:p>
          <w:p>
            <w:pPr>
              <w:pStyle w:val="Normal"/>
              <w:widowControl w:val="false"/>
              <w:rPr>
                <w:sz w:val="24"/>
                <w:szCs w:val="24"/>
              </w:rPr>
            </w:pPr>
            <w:r>
              <w:rPr>
                <w:sz w:val="24"/>
                <w:szCs w:val="24"/>
              </w:rPr>
              <w:t xml:space="preserve">ГПБ (АО) г. Москва </w:t>
            </w:r>
          </w:p>
          <w:p>
            <w:pPr>
              <w:pStyle w:val="Normal"/>
              <w:widowControl w:val="false"/>
              <w:rPr>
                <w:sz w:val="24"/>
                <w:szCs w:val="24"/>
              </w:rPr>
            </w:pPr>
            <w:r>
              <w:rPr>
                <w:sz w:val="24"/>
                <w:szCs w:val="24"/>
              </w:rPr>
              <w:t xml:space="preserve">к/с 30101 810 2 0000 0000823 </w:t>
            </w:r>
          </w:p>
          <w:p>
            <w:pPr>
              <w:pStyle w:val="Normal"/>
              <w:widowControl w:val="false"/>
              <w:rPr>
                <w:sz w:val="24"/>
                <w:szCs w:val="24"/>
              </w:rPr>
            </w:pPr>
            <w:r>
              <w:rPr>
                <w:sz w:val="24"/>
                <w:szCs w:val="24"/>
              </w:rPr>
              <w:t>БИК 044525823</w:t>
            </w:r>
          </w:p>
          <w:p>
            <w:pPr>
              <w:pStyle w:val="Normal"/>
              <w:widowControl w:val="false"/>
              <w:spacing w:before="0" w:after="0"/>
              <w:ind w:left="34" w:right="104" w:hanging="0"/>
              <w:contextualSpacing/>
              <w:rPr>
                <w:b/>
                <w:bCs/>
                <w:sz w:val="24"/>
                <w:szCs w:val="24"/>
              </w:rPr>
            </w:pPr>
            <w:r>
              <w:rPr>
                <w:b/>
                <w:bCs/>
                <w:sz w:val="24"/>
                <w:szCs w:val="24"/>
              </w:rPr>
            </w:r>
          </w:p>
          <w:p>
            <w:pPr>
              <w:pStyle w:val="Normal"/>
              <w:widowControl w:val="false"/>
              <w:spacing w:before="0" w:after="0"/>
              <w:ind w:left="34" w:right="104" w:hanging="0"/>
              <w:contextualSpacing/>
              <w:rPr>
                <w:b/>
                <w:bCs/>
                <w:sz w:val="24"/>
                <w:szCs w:val="24"/>
              </w:rPr>
            </w:pPr>
            <w:r>
              <w:rPr>
                <w:b/>
                <w:bCs/>
                <w:sz w:val="24"/>
                <w:szCs w:val="24"/>
              </w:rPr>
              <w:t xml:space="preserve">Камчатский филиал </w:t>
            </w:r>
          </w:p>
          <w:p>
            <w:pPr>
              <w:pStyle w:val="Normal"/>
              <w:widowControl w:val="false"/>
              <w:spacing w:before="0" w:after="0"/>
              <w:ind w:left="34" w:right="104" w:hanging="0"/>
              <w:contextualSpacing/>
              <w:rPr>
                <w:b/>
                <w:bCs/>
                <w:sz w:val="24"/>
                <w:szCs w:val="24"/>
                <w:u w:val="single"/>
              </w:rPr>
            </w:pPr>
            <w:r>
              <w:rPr>
                <w:b/>
                <w:bCs/>
                <w:sz w:val="24"/>
                <w:szCs w:val="24"/>
              </w:rPr>
              <w:t>АО «ТК РусГидро»</w:t>
            </w:r>
          </w:p>
          <w:p>
            <w:pPr>
              <w:pStyle w:val="Normal"/>
              <w:widowControl w:val="false"/>
              <w:spacing w:before="0" w:after="0"/>
              <w:ind w:left="29" w:hanging="0"/>
              <w:contextualSpacing/>
              <w:rPr>
                <w:color w:val="000000"/>
                <w:sz w:val="24"/>
                <w:szCs w:val="24"/>
                <w:lang w:val="en-GB"/>
              </w:rPr>
            </w:pPr>
            <w:r>
              <w:rPr>
                <w:color w:val="000000"/>
                <w:sz w:val="24"/>
                <w:szCs w:val="24"/>
              </w:rPr>
              <w:t xml:space="preserve">Почтовый адрес: 683032, Камчатский край, г. Петропавловск-Камчатский, ул. </w:t>
            </w:r>
            <w:r>
              <w:rPr>
                <w:color w:val="000000"/>
                <w:sz w:val="24"/>
                <w:szCs w:val="24"/>
                <w:lang w:val="en-GB"/>
              </w:rPr>
              <w:t>Пограничная, д. 14а</w:t>
            </w:r>
          </w:p>
          <w:p>
            <w:pPr>
              <w:pStyle w:val="Normal"/>
              <w:widowControl w:val="false"/>
              <w:rPr>
                <w:sz w:val="24"/>
                <w:szCs w:val="24"/>
              </w:rPr>
            </w:pPr>
            <w:r>
              <w:rPr>
                <w:color w:val="000000"/>
                <w:sz w:val="24"/>
                <w:szCs w:val="24"/>
                <w:lang w:val="en-GB"/>
              </w:rPr>
              <w:t>ИНН: 1902018248; КПП: 410143001</w:t>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rPr>
            </w:pPr>
            <w:r>
              <w:rPr/>
            </w:r>
          </w:p>
          <w:p>
            <w:pPr>
              <w:pStyle w:val="Normal"/>
              <w:widowControl w:val="false"/>
              <w:rPr>
                <w:sz w:val="24"/>
                <w:szCs w:val="24"/>
                <w:highlight w:val="lightGray"/>
              </w:rPr>
            </w:pPr>
            <w:r>
              <w:rPr>
                <w:color w:val="000000"/>
                <w:sz w:val="24"/>
                <w:szCs w:val="24"/>
                <w:highlight w:val="lightGray"/>
                <w:lang w:val="en-GB"/>
              </w:rPr>
              <w:t xml:space="preserve">_______________ / _______________ </w:t>
            </w:r>
          </w:p>
        </w:tc>
        <w:tc>
          <w:tcPr>
            <w:tcW w:w="4786"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211" w:type="dxa"/>
            <w:tcBorders/>
          </w:tcPr>
          <w:p>
            <w:pPr>
              <w:pStyle w:val="Normal"/>
              <w:widowControl w:val="false"/>
              <w:rPr/>
            </w:pPr>
            <w:r>
              <w:rPr/>
            </w:r>
          </w:p>
          <w:p>
            <w:pPr>
              <w:pStyle w:val="Normal"/>
              <w:widowControl w:val="false"/>
              <w:rPr>
                <w:sz w:val="24"/>
                <w:szCs w:val="24"/>
              </w:rPr>
            </w:pPr>
            <w:r>
              <w:rPr>
                <w:sz w:val="24"/>
                <w:szCs w:val="24"/>
                <w:highlight w:val="lightGray"/>
              </w:rPr>
              <w:t>_______________ / _______________</w:t>
            </w:r>
            <w:r>
              <w:rPr>
                <w:sz w:val="24"/>
                <w:szCs w:val="24"/>
              </w:rPr>
              <w:t xml:space="preserve"> </w:t>
            </w:r>
          </w:p>
          <w:p>
            <w:pPr>
              <w:pStyle w:val="Normal"/>
              <w:rPr/>
            </w:pPr>
            <w:r>
              <w:rPr/>
            </w:r>
          </w:p>
        </w:tc>
      </w:tr>
    </w:tbl>
    <w:p>
      <w:pPr>
        <w:sectPr>
          <w:headerReference w:type="default" r:id="rId5"/>
          <w:headerReference w:type="first" r:id="rId6"/>
          <w:footerReference w:type="default" r:id="rId7"/>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01"/>
        <w:gridCol w:w="629"/>
        <w:gridCol w:w="636"/>
        <w:gridCol w:w="638"/>
        <w:gridCol w:w="802"/>
        <w:gridCol w:w="763"/>
        <w:gridCol w:w="644"/>
        <w:gridCol w:w="762"/>
        <w:gridCol w:w="720"/>
        <w:gridCol w:w="384"/>
        <w:gridCol w:w="151"/>
        <w:gridCol w:w="671"/>
        <w:gridCol w:w="575"/>
        <w:gridCol w:w="536"/>
        <w:gridCol w:w="745"/>
        <w:gridCol w:w="580"/>
      </w:tblGrid>
      <w:tr>
        <w:trPr>
          <w:trHeight w:val="526"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9"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suppressAutoHyphens w:val="true"/>
        <w:ind w:firstLine="4820"/>
        <w:jc w:val="right"/>
        <w:rPr>
          <w:sz w:val="24"/>
          <w:szCs w:val="24"/>
        </w:rPr>
      </w:pPr>
      <w:r>
        <w:rPr>
          <w:rFonts w:eastAsia="Calibri"/>
          <w:b/>
          <w:sz w:val="24"/>
          <w:szCs w:val="24"/>
          <w:lang w:eastAsia="en-US"/>
        </w:rPr>
        <w:t xml:space="preserve"> </w:t>
      </w:r>
      <w:r>
        <w:rPr>
          <w:rFonts w:eastAsia="Calibri"/>
          <w:b/>
          <w:sz w:val="24"/>
          <w:szCs w:val="24"/>
          <w:lang w:eastAsia="en-US"/>
        </w:rPr>
        <w:t>__________ /__________</w:t>
        <w:tab/>
        <w:t xml:space="preserve">                                          ___________ /___________</w:t>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left="5103" w:right="96" w:hanging="0"/>
        <w:rPr>
          <w:sz w:val="22"/>
          <w:szCs w:val="22"/>
        </w:rPr>
      </w:pPr>
      <w:r>
        <w:rPr>
          <w:sz w:val="22"/>
          <w:szCs w:val="22"/>
        </w:rPr>
        <w:t xml:space="preserve">Приложение № </w:t>
      </w:r>
      <w:r>
        <w:rPr>
          <w:sz w:val="22"/>
          <w:szCs w:val="22"/>
        </w:rPr>
        <w:t>2</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на поставку Товара</w:t>
      </w:r>
    </w:p>
    <w:p>
      <w:pPr>
        <w:pStyle w:val="Normal"/>
        <w:tabs>
          <w:tab w:val="clear" w:pos="709"/>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№_________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__________202_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30"/>
        <w:gridCol w:w="980"/>
        <w:gridCol w:w="1120"/>
        <w:gridCol w:w="702"/>
        <w:gridCol w:w="1066"/>
        <w:gridCol w:w="1174"/>
        <w:gridCol w:w="981"/>
        <w:gridCol w:w="1403"/>
        <w:gridCol w:w="840"/>
        <w:gridCol w:w="840"/>
      </w:tblGrid>
      <w:tr>
        <w:trPr>
          <w:trHeight w:val="543"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 xml:space="preserve">№ </w:t>
            </w:r>
            <w:r>
              <w:rPr>
                <w:bCs/>
                <w:color w:val="000000"/>
                <w:sz w:val="24"/>
                <w:szCs w:val="24"/>
              </w:rPr>
              <w:t xml:space="preserve">п/п </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4"/>
                <w:szCs w:val="24"/>
              </w:rPr>
            </w:pPr>
            <w:r>
              <w:rPr>
                <w:bCs/>
                <w:color w:val="000000"/>
                <w:sz w:val="24"/>
                <w:szCs w:val="24"/>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4"/>
                <w:szCs w:val="24"/>
              </w:rPr>
            </w:pPr>
            <w:r>
              <w:rPr>
                <w:bCs/>
                <w:color w:val="000000"/>
                <w:sz w:val="24"/>
                <w:szCs w:val="24"/>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4"/>
                <w:szCs w:val="24"/>
              </w:rPr>
            </w:pPr>
            <w:r>
              <w:rPr>
                <w:bCs/>
                <w:color w:val="000000"/>
                <w:sz w:val="24"/>
                <w:szCs w:val="24"/>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4"/>
                <w:szCs w:val="24"/>
              </w:rPr>
            </w:pPr>
            <w:r>
              <w:rPr>
                <w:bCs/>
                <w:color w:val="000000"/>
                <w:sz w:val="24"/>
                <w:szCs w:val="24"/>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Дата поставки</w:t>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4"/>
                <w:szCs w:val="24"/>
              </w:rPr>
            </w:pPr>
            <w:r>
              <w:rPr>
                <w:bCs/>
                <w:color w:val="000000"/>
                <w:sz w:val="24"/>
                <w:szCs w:val="24"/>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4"/>
                <w:szCs w:val="24"/>
              </w:rPr>
            </w:pPr>
            <w:r>
              <w:rPr>
                <w:bCs/>
                <w:color w:val="000000"/>
                <w:sz w:val="24"/>
                <w:szCs w:val="24"/>
              </w:rPr>
              <w:t>2.</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rPr>
            </w:pPr>
            <w:r>
              <w:rPr>
                <w:color w:val="000000"/>
                <w:sz w:val="24"/>
                <w:szCs w:val="24"/>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bCs/>
          <w:sz w:val="24"/>
          <w:szCs w:val="24"/>
        </w:rPr>
      </w:r>
    </w:p>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left="5103" w:right="96" w:hanging="0"/>
        <w:rPr>
          <w:sz w:val="22"/>
          <w:szCs w:val="22"/>
        </w:rPr>
      </w:pPr>
      <w:r>
        <w:rPr>
          <w:sz w:val="22"/>
          <w:szCs w:val="22"/>
        </w:rPr>
        <w:t xml:space="preserve">Приложение № </w:t>
      </w:r>
      <w:r>
        <w:rPr>
          <w:sz w:val="22"/>
          <w:szCs w:val="22"/>
        </w:rPr>
        <w:t>3</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3">
    <w:p>
      <w:pPr>
        <w:pStyle w:val="FootnoteText"/>
        <w:jc w:val="both"/>
        <w:rPr/>
      </w:pPr>
      <w:r>
        <w:rPr>
          <w:rStyle w:val="Style14"/>
        </w:rPr>
        <w:footnoteRef/>
      </w:r>
      <w:r>
        <w:rPr>
          <w:highlight w:val="lightGray"/>
        </w:rPr>
        <w:t xml:space="preserve"> </w:t>
      </w:r>
      <w:r>
        <w:rPr>
          <w:highlight w:val="lightGray"/>
        </w:rPr>
        <w:t xml:space="preserve">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Российской Федерации от 03.12.2020 </w:t>
        <w:br/>
        <w:t>№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suff w:val="space"/>
      <w:lvlText w:val="%1.%2."/>
      <w:lvlJc w:val="left"/>
      <w:pPr>
        <w:tabs>
          <w:tab w:val="num" w:pos="0"/>
        </w:tabs>
        <w:ind w:left="1708" w:hanging="432"/>
      </w:pPr>
      <w:rPr>
        <w:sz w:val="24"/>
        <w:b w:val="false"/>
        <w:szCs w:val="24"/>
      </w:rPr>
    </w:lvl>
    <w:lvl w:ilvl="2">
      <w:start w:val="1"/>
      <w:numFmt w:val="decimal"/>
      <w:suff w:val="space"/>
      <w:lvlText w:val="%1.%2.%3."/>
      <w:lvlJc w:val="left"/>
      <w:pPr>
        <w:tabs>
          <w:tab w:val="num" w:pos="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suff w:val="space"/>
      <w:lvlText w:val=""/>
      <w:lvlJc w:val="left"/>
      <w:pPr>
        <w:tabs>
          <w:tab w:val="num" w:pos="0"/>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suff w:val="space"/>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51d9"/>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3DFC088-DFEE-4DD6-9E95-73897E72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AlterOffice/2025.3.1.0$Linux_X86_64 LibreOffice_project/431cd1b79110582f53535c95ed0a2449aadc8bf9</Application>
  <AppVersion>15.0000</AppVersion>
  <Pages>19</Pages>
  <Words>6811</Words>
  <Characters>47906</Characters>
  <CharactersWithSpaces>54530</CharactersWithSpaces>
  <Paragraphs>343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2024-07-15T22:48:00Z</dcterms:created>
  <dc:creator>tsypilev_ag</dc:creator>
  <dc:description/>
  <dc:language>ru-RU</dc:language>
  <cp:lastModifiedBy>oleinikovadv@corp.gidroogk.com</cp:lastModifiedBy>
  <cp:lastPrinted>2025-03-16T22:41:00Z</cp:lastPrinted>
  <dcterms:modified xsi:type="dcterms:W3CDTF">2026-06-02T10:58:02Z</dcterms:modified>
  <cp:revision>11</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