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sz w:val="26"/>
          <w:szCs w:val="26"/>
        </w:rPr>
      </w:pPr>
      <w:r>
        <w:rPr>
          <w:sz w:val="26"/>
          <w:szCs w:val="26"/>
        </w:rPr>
      </w:r>
    </w:p>
    <w:tbl>
      <w:tblPr>
        <w:tblStyle w:val="afff"/>
        <w:tblW w:w="9921"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4661"/>
        <w:gridCol w:w="726"/>
        <w:gridCol w:w="4534"/>
      </w:tblGrid>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b/>
                <w:bCs/>
                <w:sz w:val="20"/>
                <w:szCs w:val="20"/>
              </w:rPr>
            </w:pPr>
            <w:r>
              <w:rPr>
                <w:rFonts w:eastAsia="Times New Roman" w:cs="Times New Roman"/>
                <w:b/>
                <w:bCs/>
                <w:kern w:val="0"/>
                <w:sz w:val="20"/>
                <w:szCs w:val="20"/>
                <w:lang w:eastAsia="ru-RU" w:bidi="ar-SA"/>
              </w:rPr>
              <w:t>«ПОДГОТОВИЛ»</w:t>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b/>
                <w:bCs/>
                <w:sz w:val="20"/>
                <w:szCs w:val="20"/>
              </w:rPr>
            </w:pPr>
            <w:r>
              <w:rPr>
                <w:b/>
                <w:bCs/>
                <w:sz w:val="20"/>
                <w:szCs w:val="20"/>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b/>
                <w:bCs/>
                <w:sz w:val="20"/>
                <w:szCs w:val="20"/>
              </w:rPr>
            </w:pPr>
            <w:r>
              <w:rPr>
                <w:rFonts w:eastAsia="Times New Roman" w:cs="Times New Roman"/>
                <w:b/>
                <w:bCs/>
                <w:kern w:val="0"/>
                <w:sz w:val="20"/>
                <w:szCs w:val="20"/>
                <w:lang w:eastAsia="ru-RU" w:bidi="ar-SA"/>
              </w:rPr>
              <w:t>«УТВЕРЖДАЮ»</w:t>
            </w:r>
          </w:p>
        </w:tc>
      </w:tr>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rFonts w:eastAsia="Times New Roman" w:cs="Times New Roman"/>
                <w:kern w:val="0"/>
                <w:sz w:val="20"/>
                <w:szCs w:val="20"/>
                <w:lang w:eastAsia="ru-RU" w:bidi="ar-SA"/>
              </w:rPr>
              <w:t>Технический куратор договора</w:t>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rFonts w:eastAsia="Times New Roman" w:cs="Times New Roman"/>
                <w:kern w:val="0"/>
                <w:sz w:val="20"/>
                <w:szCs w:val="20"/>
                <w:lang w:eastAsia="ru-RU" w:bidi="ar-SA"/>
              </w:rPr>
              <w:t>Инициатор договора</w:t>
            </w:r>
          </w:p>
        </w:tc>
      </w:tr>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rPr>
            </w:pPr>
            <w:r>
              <w:rPr>
                <w:rFonts w:eastAsia="Times New Roman" w:cs="Times New Roman"/>
                <w:kern w:val="0"/>
                <w:sz w:val="20"/>
                <w:szCs w:val="20"/>
                <w:lang w:val="ru-RU" w:eastAsia="ru-RU" w:bidi="ar-SA"/>
              </w:rPr>
              <w:t>Ведущий специалист отдела комплексного обслуживания</w:t>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rPr>
            </w:pPr>
            <w:r>
              <w:rPr>
                <w:sz w:val="20"/>
                <w:szCs w:val="20"/>
                <w:lang w:val="ru-RU"/>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rPr>
            </w:pPr>
            <w:r>
              <w:rPr>
                <w:rFonts w:eastAsia="Times New Roman" w:cs="Times New Roman"/>
                <w:kern w:val="0"/>
                <w:sz w:val="20"/>
                <w:szCs w:val="20"/>
                <w:lang w:eastAsia="ru-RU" w:bidi="ar-SA"/>
              </w:rPr>
              <w:t xml:space="preserve">Начальник </w:t>
            </w:r>
            <w:r>
              <w:rPr>
                <w:rFonts w:eastAsia="Times New Roman" w:cs="Times New Roman"/>
                <w:kern w:val="0"/>
                <w:sz w:val="20"/>
                <w:szCs w:val="20"/>
                <w:lang w:val="ru-RU" w:eastAsia="ru-RU" w:bidi="ar-SA"/>
              </w:rPr>
              <w:t>управления обслуживания объектов</w:t>
            </w:r>
          </w:p>
        </w:tc>
      </w:tr>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r>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rFonts w:eastAsia="Times New Roman" w:cs="Times New Roman"/>
                <w:kern w:val="0"/>
                <w:sz w:val="20"/>
                <w:szCs w:val="20"/>
                <w:lang w:eastAsia="ru-RU" w:bidi="ar-SA"/>
              </w:rPr>
              <w:t xml:space="preserve">______________/ </w:t>
            </w:r>
            <w:r>
              <w:rPr>
                <w:rFonts w:eastAsia="Times New Roman" w:cs="Times New Roman"/>
                <w:kern w:val="0"/>
                <w:sz w:val="20"/>
                <w:szCs w:val="20"/>
                <w:lang w:val="ru-RU" w:eastAsia="ru-RU" w:bidi="ar-SA"/>
              </w:rPr>
              <w:t>Стрелец В.А.</w:t>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rPr>
            </w:pPr>
            <w:r>
              <w:rPr>
                <w:rFonts w:eastAsia="Times New Roman" w:cs="Times New Roman"/>
                <w:kern w:val="0"/>
                <w:sz w:val="20"/>
                <w:szCs w:val="20"/>
                <w:lang w:eastAsia="ru-RU" w:bidi="ar-SA"/>
              </w:rPr>
              <w:t xml:space="preserve">______________/ </w:t>
            </w:r>
            <w:r>
              <w:rPr>
                <w:rFonts w:eastAsia="Times New Roman" w:cs="Times New Roman"/>
                <w:kern w:val="0"/>
                <w:sz w:val="20"/>
                <w:szCs w:val="20"/>
                <w:lang w:val="ru-RU" w:eastAsia="ru-RU" w:bidi="ar-SA"/>
              </w:rPr>
              <w:t>Решетникова А.А.</w:t>
            </w:r>
          </w:p>
        </w:tc>
      </w:tr>
      <w:tr>
        <w:trPr/>
        <w:tc>
          <w:tcPr>
            <w:tcW w:w="4661"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rFonts w:eastAsia="Times New Roman" w:cs="Times New Roman"/>
                <w:kern w:val="0"/>
                <w:sz w:val="20"/>
                <w:szCs w:val="20"/>
                <w:lang w:eastAsia="ru-RU" w:bidi="ar-SA"/>
              </w:rPr>
              <w:t>«    »             202</w:t>
            </w:r>
            <w:r>
              <w:rPr>
                <w:rFonts w:eastAsia="Times New Roman" w:cs="Times New Roman"/>
                <w:kern w:val="0"/>
                <w:sz w:val="20"/>
                <w:szCs w:val="20"/>
                <w:lang w:val="ru-RU" w:eastAsia="ru-RU" w:bidi="ar-SA"/>
              </w:rPr>
              <w:t>6</w:t>
            </w:r>
            <w:r>
              <w:rPr>
                <w:rFonts w:eastAsia="Times New Roman" w:cs="Times New Roman"/>
                <w:kern w:val="0"/>
                <w:sz w:val="20"/>
                <w:szCs w:val="20"/>
                <w:lang w:eastAsia="ru-RU" w:bidi="ar-SA"/>
              </w:rPr>
              <w:t xml:space="preserve"> года</w:t>
            </w:r>
          </w:p>
        </w:tc>
        <w:tc>
          <w:tcPr>
            <w:tcW w:w="726"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sz w:val="20"/>
                <w:szCs w:val="20"/>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rPr>
            </w:pPr>
            <w:r>
              <w:rPr>
                <w:rFonts w:eastAsia="Times New Roman" w:cs="Times New Roman"/>
                <w:kern w:val="0"/>
                <w:sz w:val="20"/>
                <w:szCs w:val="20"/>
                <w:lang w:eastAsia="ru-RU" w:bidi="ar-SA"/>
              </w:rPr>
              <w:t>«   »            202</w:t>
            </w:r>
            <w:r>
              <w:rPr>
                <w:rFonts w:eastAsia="Times New Roman" w:cs="Times New Roman"/>
                <w:kern w:val="0"/>
                <w:sz w:val="20"/>
                <w:szCs w:val="20"/>
                <w:lang w:val="ru-RU" w:eastAsia="ru-RU" w:bidi="ar-SA"/>
              </w:rPr>
              <w:t>6</w:t>
            </w:r>
            <w:r>
              <w:rPr>
                <w:rFonts w:eastAsia="Times New Roman" w:cs="Times New Roman"/>
                <w:kern w:val="0"/>
                <w:sz w:val="20"/>
                <w:szCs w:val="20"/>
                <w:lang w:eastAsia="ru-RU" w:bidi="ar-SA"/>
              </w:rPr>
              <w:t xml:space="preserve"> года</w:t>
            </w:r>
          </w:p>
        </w:tc>
      </w:tr>
    </w:tbl>
    <w:p>
      <w:pPr>
        <w:pStyle w:val="Normal"/>
        <w:keepNext w:val="true"/>
        <w:keepLines/>
        <w:rPr>
          <w:sz w:val="26"/>
          <w:szCs w:val="26"/>
        </w:rPr>
      </w:pPr>
      <w:r>
        <w:rPr>
          <w:sz w:val="26"/>
          <w:szCs w:val="26"/>
        </w:rPr>
      </w:r>
    </w:p>
    <w:p>
      <w:pPr>
        <w:pStyle w:val="Normal"/>
        <w:keepNext w:val="true"/>
        <w:keepLines/>
        <w:rPr/>
      </w:pPr>
      <w:r>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sz w:val="24"/>
          <w:szCs w:val="24"/>
          <w:lang w:val="ru-RU"/>
        </w:rPr>
      </w:pPr>
      <w:r>
        <w:rPr>
          <w:sz w:val="24"/>
          <w:szCs w:val="24"/>
          <w:lang w:val="ru-RU"/>
        </w:rPr>
      </w:r>
    </w:p>
    <w:p>
      <w:pPr>
        <w:pStyle w:val="Normal"/>
        <w:ind w:firstLine="709"/>
        <w:jc w:val="center"/>
        <w:rPr>
          <w:sz w:val="24"/>
          <w:szCs w:val="24"/>
        </w:rPr>
      </w:pPr>
      <w:r>
        <w:rPr>
          <w:b/>
          <w:bCs/>
          <w:sz w:val="24"/>
          <w:szCs w:val="24"/>
          <w:lang w:val="ru-RU"/>
        </w:rPr>
        <w:t>Технические требования</w:t>
      </w:r>
    </w:p>
    <w:p>
      <w:pPr>
        <w:pStyle w:val="Normal"/>
        <w:ind w:firstLine="709"/>
        <w:jc w:val="center"/>
        <w:rPr>
          <w:b/>
          <w:bCs/>
          <w:sz w:val="24"/>
          <w:szCs w:val="24"/>
          <w:lang w:val="ru-RU"/>
        </w:rPr>
      </w:pPr>
      <w:r>
        <w:rPr>
          <w:b/>
          <w:bCs/>
          <w:sz w:val="24"/>
          <w:szCs w:val="24"/>
          <w:lang w:val="ru-RU"/>
        </w:rPr>
      </w:r>
    </w:p>
    <w:p>
      <w:pPr>
        <w:pStyle w:val="Normal"/>
        <w:ind w:firstLine="709"/>
        <w:jc w:val="center"/>
        <w:rPr>
          <w:sz w:val="24"/>
          <w:szCs w:val="24"/>
        </w:rPr>
      </w:pPr>
      <w:r>
        <w:rPr>
          <w:b/>
          <w:bCs/>
          <w:sz w:val="24"/>
          <w:szCs w:val="24"/>
          <w:lang w:val="ru-RU"/>
        </w:rPr>
        <w:t>ОКПД2 81.29.12.000 Оказание услуг по уборке снега и наледи с крыш объектов филиала ПАО «РусГидро» - «Новосибирская ГЭС»</w:t>
      </w:r>
    </w:p>
    <w:p>
      <w:pPr>
        <w:pStyle w:val="Normal"/>
        <w:rPr>
          <w:sz w:val="24"/>
          <w:szCs w:val="24"/>
          <w:lang w:val="ru-RU"/>
        </w:rPr>
      </w:pPr>
      <w:r>
        <w:rPr>
          <w:sz w:val="24"/>
          <w:szCs w:val="24"/>
          <w:lang w:val="ru-RU"/>
        </w:rPr>
      </w:r>
    </w:p>
    <w:p>
      <w:pPr>
        <w:pStyle w:val="Normal"/>
        <w:ind w:firstLine="709"/>
        <w:jc w:val="center"/>
        <w:rPr>
          <w:sz w:val="24"/>
          <w:szCs w:val="24"/>
        </w:rPr>
      </w:pPr>
      <w:r>
        <w:rPr>
          <w:b/>
          <w:bCs/>
          <w:sz w:val="24"/>
          <w:szCs w:val="24"/>
          <w:lang w:val="ru-RU"/>
        </w:rPr>
        <w:t xml:space="preserve">ЛОТ № </w:t>
      </w:r>
    </w:p>
    <w:p>
      <w:pPr>
        <w:pStyle w:val="Normal"/>
        <w:ind w:firstLine="709"/>
        <w:jc w:val="center"/>
        <w:rPr>
          <w:b/>
          <w:bCs/>
          <w:sz w:val="28"/>
          <w:szCs w:val="28"/>
          <w:lang w:val="ru-RU"/>
        </w:rPr>
      </w:pPr>
      <w:r>
        <w:rPr>
          <w:b/>
          <w:bCs/>
          <w:sz w:val="28"/>
          <w:szCs w:val="28"/>
          <w:lang w:val="ru-RU"/>
        </w:rPr>
      </w:r>
    </w:p>
    <w:p>
      <w:pPr>
        <w:pStyle w:val="Normal"/>
        <w:ind w:firstLine="709"/>
        <w:jc w:val="center"/>
        <w:rPr>
          <w:b/>
          <w:bCs/>
          <w:sz w:val="28"/>
          <w:szCs w:val="28"/>
          <w:lang w:val="ru-RU"/>
        </w:rPr>
      </w:pPr>
      <w:r>
        <w:rPr>
          <w:b/>
          <w:bCs/>
          <w:sz w:val="28"/>
          <w:szCs w:val="28"/>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r>
    </w:p>
    <w:p>
      <w:pPr>
        <w:pStyle w:val="ListParagraph"/>
        <w:numPr>
          <w:ilvl w:val="0"/>
          <w:numId w:val="5"/>
        </w:numPr>
        <w:ind w:left="0" w:hanging="0"/>
        <w:jc w:val="center"/>
        <w:rPr>
          <w:sz w:val="28"/>
        </w:rPr>
      </w:pPr>
      <w:bookmarkStart w:id="0" w:name="_Toc54643694"/>
      <w:r>
        <w:rPr>
          <w:b/>
          <w:bCs/>
          <w:sz w:val="28"/>
        </w:rPr>
        <w:t>Общие сведения</w:t>
      </w:r>
      <w:bookmarkEnd w:id="0"/>
    </w:p>
    <w:p>
      <w:pPr>
        <w:pStyle w:val="ListParagraph"/>
        <w:numPr>
          <w:ilvl w:val="1"/>
          <w:numId w:val="5"/>
        </w:numPr>
        <w:ind w:left="0" w:firstLine="709"/>
        <w:rPr>
          <w:b/>
          <w:bCs/>
        </w:rPr>
      </w:pPr>
      <w:bookmarkStart w:id="1" w:name="_Toc54643695"/>
      <w:bookmarkStart w:id="2" w:name="_Toc46743505"/>
      <w:r>
        <w:rPr>
          <w:b/>
          <w:bCs/>
        </w:rPr>
        <w:t>Обозначения и сокращения</w:t>
      </w:r>
      <w:bookmarkEnd w:id="1"/>
      <w:bookmarkEnd w:id="2"/>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534"/>
        <w:gridCol w:w="6248"/>
      </w:tblGrid>
      <w:tr>
        <w:trPr>
          <w:cantSplit w:val="true"/>
        </w:trPr>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center"/>
              <w:rPr>
                <w:rStyle w:val="Style17"/>
                <w:b w:val="false"/>
                <w:bCs/>
                <w:i w:val="false"/>
                <w:i w:val="false"/>
              </w:rPr>
            </w:pPr>
            <w:r>
              <w:rPr>
                <w:rFonts w:eastAsia="Calibri"/>
                <w:b/>
                <w:bCs/>
              </w:rPr>
              <w:t>Технические требования (ТТ)</w:t>
            </w:r>
          </w:p>
        </w:tc>
        <w:tc>
          <w:tcPr>
            <w:tcW w:w="6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center"/>
              <w:rPr>
                <w:rStyle w:val="Style17"/>
                <w:b w:val="false"/>
                <w:bCs/>
                <w:i w:val="false"/>
                <w:i w:val="false"/>
              </w:rPr>
            </w:pPr>
            <w:r>
              <w:rPr>
                <w:rFonts w:eastAsia="Calibri"/>
                <w:b/>
                <w:bCs/>
              </w:rPr>
              <w:t>Настоящие Технические требования</w:t>
            </w:r>
          </w:p>
        </w:tc>
      </w:tr>
      <w:tr>
        <w:trPr>
          <w:cantSplit w:val="true"/>
        </w:trPr>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Style w:val="Style17"/>
                <w:b w:val="false"/>
                <w:bCs/>
                <w:i w:val="false"/>
                <w:i w:val="false"/>
              </w:rPr>
            </w:pPr>
            <w:r>
              <w:rPr>
                <w:rFonts w:eastAsia="Calibri"/>
              </w:rPr>
              <w:t>Заказчик</w:t>
            </w:r>
          </w:p>
        </w:tc>
        <w:tc>
          <w:tcPr>
            <w:tcW w:w="6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Style w:val="Style17"/>
                <w:b w:val="false"/>
                <w:bCs/>
                <w:i w:val="false"/>
                <w:i w:val="false"/>
                <w:highlight w:val="yellow"/>
              </w:rPr>
            </w:pPr>
            <w:r>
              <w:rPr>
                <w:rFonts w:eastAsia="Calibri"/>
              </w:rPr>
              <w:t>АО «СК «РусГидро»</w:t>
            </w:r>
          </w:p>
        </w:tc>
      </w:tr>
      <w:tr>
        <w:trPr>
          <w:cantSplit w:val="true"/>
        </w:trPr>
        <w:tc>
          <w:tcPr>
            <w:tcW w:w="353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Style w:val="Style17"/>
                <w:b w:val="false"/>
                <w:bCs/>
                <w:i w:val="false"/>
                <w:i w:val="false"/>
              </w:rPr>
            </w:pPr>
            <w:r>
              <w:rPr>
                <w:bCs/>
              </w:rPr>
              <w:t>Филиал</w:t>
            </w:r>
          </w:p>
        </w:tc>
        <w:tc>
          <w:tcPr>
            <w:tcW w:w="6248" w:type="dxa"/>
            <w:tcBorders>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rPr>
              <w:t>ПАО «РусГидро» - «Новосибирская ГЭС»</w:t>
            </w:r>
          </w:p>
        </w:tc>
      </w:tr>
      <w:tr>
        <w:trPr>
          <w:cantSplit w:val="true"/>
        </w:trPr>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rPr>
                <w:rStyle w:val="Style17"/>
                <w:b w:val="false"/>
                <w:bCs/>
                <w:i w:val="false"/>
                <w:i w:val="false"/>
              </w:rPr>
            </w:pPr>
            <w:r>
              <w:rPr>
                <w:rFonts w:eastAsia="Calibri"/>
              </w:rPr>
              <w:t>Объекты (Объект воздействия)</w:t>
            </w:r>
          </w:p>
        </w:tc>
        <w:tc>
          <w:tcPr>
            <w:tcW w:w="6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Style w:val="Style17"/>
                <w:b w:val="false"/>
                <w:bCs/>
                <w:i w:val="false"/>
                <w:i w:val="false"/>
                <w:lang w:val="ru-RU"/>
              </w:rPr>
            </w:pPr>
            <w:r>
              <w:rPr>
                <w:rFonts w:eastAsia="Calibri"/>
                <w:lang w:val="ru-RU"/>
              </w:rPr>
              <w:t>Здания и сооружения, перечисленные в Таблице №1 Технических требований</w:t>
            </w:r>
          </w:p>
        </w:tc>
      </w:tr>
      <w:tr>
        <w:trPr>
          <w:cantSplit w:val="true"/>
        </w:trPr>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rPr>
                <w:rFonts w:eastAsia="Calibri"/>
              </w:rPr>
            </w:pPr>
            <w:r>
              <w:rPr>
                <w:rFonts w:eastAsia="Calibri"/>
              </w:rPr>
              <w:t>Исполнитель</w:t>
            </w:r>
          </w:p>
        </w:tc>
        <w:tc>
          <w:tcPr>
            <w:tcW w:w="6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Fonts w:eastAsia="Calibri"/>
                <w:lang w:val="ru-RU"/>
              </w:rPr>
            </w:pPr>
            <w:r>
              <w:rPr>
                <w:rFonts w:eastAsia="Calibri"/>
                <w:lang w:val="ru-RU"/>
              </w:rPr>
              <w:t xml:space="preserve">Исполнителем по договору может быть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из числа лиц, </w:t>
            </w:r>
            <w:r>
              <w:rPr>
                <w:rFonts w:eastAsia="Calibri"/>
                <w:b/>
                <w:bCs/>
                <w:lang w:val="ru-RU"/>
              </w:rPr>
              <w:t>относящихся к субъектам МСП</w:t>
            </w:r>
            <w:r>
              <w:rPr>
                <w:rFonts w:eastAsia="Calibri"/>
                <w:lang w:val="ru-RU"/>
              </w:rPr>
              <w:t>, а также физические лица, не являющиеся индивидуальными предпринимателями и имеющими специальный налоговой режим «Налог профессиональный доход».</w:t>
            </w:r>
          </w:p>
        </w:tc>
      </w:tr>
      <w:tr>
        <w:trPr>
          <w:trHeight w:val="960" w:hRule="atLeast"/>
          <w:cantSplit w:val="true"/>
        </w:trPr>
        <w:tc>
          <w:tcPr>
            <w:tcW w:w="3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eastAsia="Calibri"/>
              </w:rPr>
            </w:pPr>
            <w:r>
              <w:rPr>
                <w:rFonts w:eastAsia="Calibri"/>
              </w:rPr>
              <w:t>Субъект МСП</w:t>
            </w:r>
          </w:p>
        </w:tc>
        <w:tc>
          <w:tcPr>
            <w:tcW w:w="62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eastAsia="Calibri"/>
                <w:lang w:val="ru-RU"/>
              </w:rPr>
            </w:pPr>
            <w:r>
              <w:rPr>
                <w:rFonts w:eastAsia="Calibri"/>
                <w:lang w:val="ru-RU"/>
              </w:rPr>
              <w:t>Субъект малого и среднего предпринимательства субъект МСП) – определяется в соответствии с Федеральным законом от 24.07.2007 № 209-ФЗ «О развитии малого и среднего предпринимательства в Российской Федерации».</w:t>
            </w:r>
          </w:p>
        </w:tc>
      </w:tr>
    </w:tbl>
    <w:p>
      <w:pPr>
        <w:pStyle w:val="Normal"/>
        <w:rPr>
          <w:lang w:val="ru-RU" w:eastAsia="x-none"/>
        </w:rPr>
      </w:pPr>
      <w:r>
        <w:rPr>
          <w:lang w:val="ru-RU" w:eastAsia="x-none"/>
        </w:rPr>
      </w:r>
    </w:p>
    <w:p>
      <w:pPr>
        <w:pStyle w:val="Normal"/>
        <w:rPr>
          <w:lang w:val="x-none" w:eastAsia="x-none"/>
        </w:rPr>
      </w:pPr>
      <w:r>
        <w:rPr>
          <w:lang w:val="x-none" w:eastAsia="x-none"/>
        </w:rPr>
      </w:r>
    </w:p>
    <w:p>
      <w:pPr>
        <w:pStyle w:val="Normal"/>
        <w:keepNext w:val="true"/>
        <w:keepLines/>
        <w:jc w:val="both"/>
        <w:rPr>
          <w:lang w:val="ru-RU"/>
        </w:rPr>
      </w:pPr>
      <w:r>
        <w:rPr>
          <w:lang w:val="ru-RU"/>
        </w:rPr>
      </w:r>
    </w:p>
    <w:p>
      <w:pPr>
        <w:pStyle w:val="Normal"/>
        <w:keepNext w:val="true"/>
        <w:keepLines/>
        <w:rPr>
          <w:lang w:val="ru-RU"/>
        </w:rPr>
      </w:pPr>
      <w:r>
        <w:rPr>
          <w:lang w:val="ru-RU"/>
        </w:rPr>
      </w:r>
      <w:r>
        <w:br w:type="page"/>
      </w:r>
    </w:p>
    <w:p>
      <w:pPr>
        <w:pStyle w:val="ListParagraph"/>
        <w:numPr>
          <w:ilvl w:val="1"/>
          <w:numId w:val="5"/>
        </w:numPr>
        <w:ind w:left="0" w:firstLine="709"/>
        <w:jc w:val="both"/>
        <w:rPr/>
      </w:pPr>
      <w:bookmarkStart w:id="3" w:name="_Toc46743506"/>
      <w:bookmarkStart w:id="4" w:name="_Toc54643696"/>
      <w:r>
        <w:rPr>
          <w:b/>
          <w:bCs/>
        </w:rPr>
        <w:t>Наименование закупаемой продукции</w:t>
      </w:r>
      <w:bookmarkEnd w:id="3"/>
      <w:bookmarkEnd w:id="4"/>
      <w:r>
        <w:rPr>
          <w:b/>
          <w:bCs/>
        </w:rPr>
        <w:t>:</w:t>
      </w:r>
      <w:r>
        <w:rPr/>
        <w:t xml:space="preserve"> </w:t>
      </w:r>
    </w:p>
    <w:p>
      <w:pPr>
        <w:pStyle w:val="Normal"/>
        <w:ind w:firstLine="709"/>
        <w:jc w:val="both"/>
        <w:rPr>
          <w:lang w:val="ru-RU"/>
        </w:rPr>
      </w:pPr>
      <w:r>
        <w:rPr>
          <w:lang w:val="ru-RU"/>
        </w:rPr>
        <w:t>ОКПД2 81.29.12.000 Оказание услуг по уборке снега и наледи с крыш объектов филиала ПАО «РусГидро» - «Новосибирская ГЭС».</w:t>
      </w:r>
    </w:p>
    <w:p>
      <w:pPr>
        <w:pStyle w:val="Normal"/>
        <w:ind w:firstLine="709"/>
        <w:jc w:val="both"/>
        <w:rPr>
          <w:lang w:val="ru-RU" w:eastAsia="x-none"/>
        </w:rPr>
      </w:pPr>
      <w:r>
        <w:rPr>
          <w:lang w:val="ru-RU" w:eastAsia="x-none"/>
        </w:rPr>
      </w:r>
    </w:p>
    <w:p>
      <w:pPr>
        <w:pStyle w:val="ListParagraph"/>
        <w:numPr>
          <w:ilvl w:val="1"/>
          <w:numId w:val="5"/>
        </w:numPr>
        <w:ind w:left="0" w:firstLine="709"/>
        <w:jc w:val="both"/>
        <w:rPr>
          <w:b/>
          <w:bCs/>
        </w:rPr>
      </w:pPr>
      <w:bookmarkStart w:id="5" w:name="_Toc54643697"/>
      <w:bookmarkStart w:id="6" w:name="_Toc46743507"/>
      <w:r>
        <w:rPr>
          <w:b/>
          <w:bCs/>
        </w:rPr>
        <w:t xml:space="preserve">Цель </w:t>
      </w:r>
      <w:bookmarkEnd w:id="6"/>
      <w:r>
        <w:rPr>
          <w:b/>
          <w:bCs/>
        </w:rPr>
        <w:t>оказания услуг</w:t>
      </w:r>
      <w:bookmarkEnd w:id="5"/>
      <w:r>
        <w:rPr>
          <w:b/>
          <w:bCs/>
        </w:rPr>
        <w:t xml:space="preserve">: </w:t>
      </w:r>
    </w:p>
    <w:p>
      <w:pPr>
        <w:pStyle w:val="Normal"/>
        <w:ind w:firstLine="709"/>
        <w:jc w:val="both"/>
        <w:rPr>
          <w:lang w:val="ru-RU"/>
        </w:rPr>
      </w:pPr>
      <w:r>
        <w:rPr>
          <w:lang w:val="ru-RU"/>
        </w:rPr>
        <w:t xml:space="preserve">Исполнение доходного договора, заключенного между филиалом ПАО «РусГидро» - «Новосибирская ГЭС» и АО «СК «РусГидро», а также с целью своевременной очистки крыш от выпавшего снега и образовавшейся наледи для обеспечения безопасности, находящихся внизу людей, припаркованного транспорта и зеленых насаждений. </w:t>
      </w:r>
    </w:p>
    <w:p>
      <w:pPr>
        <w:pStyle w:val="Normal"/>
        <w:ind w:firstLine="709"/>
        <w:jc w:val="both"/>
        <w:rPr>
          <w:lang w:val="ru-RU"/>
        </w:rPr>
      </w:pPr>
      <w:r>
        <w:rPr>
          <w:lang w:val="ru-RU"/>
        </w:rPr>
        <w:t>Для своевременного и контролируемого удаления снега и наледи с целью исключения риска схода cнежного покрова. Защиты чердачных помещений и верхних этажей от протеканий в период таяния.</w:t>
      </w:r>
    </w:p>
    <w:p>
      <w:pPr>
        <w:pStyle w:val="Normal"/>
        <w:ind w:firstLine="709"/>
        <w:rPr>
          <w:lang w:val="ru-RU" w:eastAsia="x-none"/>
        </w:rPr>
      </w:pPr>
      <w:r>
        <w:rPr>
          <w:lang w:val="ru-RU" w:eastAsia="x-none"/>
        </w:rPr>
      </w:r>
    </w:p>
    <w:p>
      <w:pPr>
        <w:pStyle w:val="ListParagraph"/>
        <w:numPr>
          <w:ilvl w:val="1"/>
          <w:numId w:val="5"/>
        </w:numPr>
        <w:ind w:left="0" w:firstLine="709"/>
        <w:rPr>
          <w:b/>
          <w:bCs/>
        </w:rPr>
      </w:pPr>
      <w:bookmarkStart w:id="7" w:name="_Toc54643698"/>
      <w:bookmarkStart w:id="8" w:name="_Toc46743508"/>
      <w:r>
        <w:rPr>
          <w:b/>
          <w:bCs/>
        </w:rPr>
        <w:t>Существующее положение</w:t>
      </w:r>
      <w:bookmarkEnd w:id="8"/>
      <w:r>
        <w:rPr>
          <w:b/>
          <w:bCs/>
        </w:rPr>
        <w:t xml:space="preserve"> </w:t>
      </w:r>
      <w:bookmarkEnd w:id="7"/>
    </w:p>
    <w:p>
      <w:pPr>
        <w:pStyle w:val="ListParagraph"/>
        <w:ind w:left="0" w:firstLine="709"/>
        <w:jc w:val="both"/>
        <w:rPr>
          <w:bCs/>
          <w:iCs/>
          <w:lang w:eastAsia="x-none"/>
        </w:rPr>
      </w:pPr>
      <w:r>
        <w:rPr>
          <w:bCs/>
          <w:iCs/>
          <w:lang w:eastAsia="x-none"/>
        </w:rPr>
        <w:t>Территория объектов на филиале ПАО «РусГидро» - «Новосибирская ГЭС», находящаяся в постоянной эксплуатации, требуют периодических воздействий для сохранения и восстановления своих эксплуатационных свойств.</w:t>
      </w:r>
    </w:p>
    <w:p>
      <w:pPr>
        <w:pStyle w:val="ListParagraph"/>
        <w:ind w:left="0" w:firstLine="709"/>
        <w:jc w:val="both"/>
        <w:rPr>
          <w:bCs/>
          <w:iCs/>
          <w:lang w:eastAsia="x-none"/>
        </w:rPr>
      </w:pPr>
      <w:r>
        <w:rPr>
          <w:bCs/>
          <w:iCs/>
          <w:lang w:eastAsia="x-none"/>
        </w:rPr>
        <w:t xml:space="preserve"> </w:t>
      </w:r>
      <w:r>
        <w:rPr>
          <w:bCs/>
          <w:iCs/>
          <w:lang w:eastAsia="x-none"/>
        </w:rPr>
        <w:t>Перечень объектов воздействия представлен в Таблице 1 «Перечень объектов Заказчика»</w:t>
      </w:r>
    </w:p>
    <w:p>
      <w:pPr>
        <w:pStyle w:val="Normal"/>
        <w:ind w:firstLine="709"/>
        <w:jc w:val="both"/>
        <w:rPr>
          <w:lang w:val="ru-RU"/>
        </w:rPr>
      </w:pPr>
      <w:r>
        <w:rPr>
          <w:lang w:val="ru-RU"/>
        </w:rPr>
      </w:r>
    </w:p>
    <w:p>
      <w:pPr>
        <w:pStyle w:val="Normal"/>
        <w:rPr>
          <w:b/>
          <w:bCs/>
        </w:rPr>
      </w:pPr>
      <w:bookmarkStart w:id="9" w:name="_Toc54643699"/>
      <w:r>
        <w:rPr>
          <w:b/>
          <w:bCs/>
        </w:rPr>
        <w:t>Таблица 1. Перечень объектов заказчика</w:t>
      </w:r>
      <w:bookmarkEnd w:id="9"/>
    </w:p>
    <w:tbl>
      <w:tblPr>
        <w:tblW w:w="10216"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06"/>
        <w:gridCol w:w="1745"/>
        <w:gridCol w:w="2034"/>
        <w:gridCol w:w="3356"/>
        <w:gridCol w:w="2675"/>
      </w:tblGrid>
      <w:tr>
        <w:trPr>
          <w:trHeight w:val="21" w:hRule="atLeast"/>
        </w:trPr>
        <w:tc>
          <w:tcPr>
            <w:tcW w:w="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0"/>
                <w:szCs w:val="20"/>
              </w:rPr>
            </w:pPr>
            <w:r>
              <w:rPr>
                <w:b/>
                <w:bCs/>
                <w:sz w:val="20"/>
                <w:szCs w:val="20"/>
              </w:rPr>
              <w:t xml:space="preserve">№ </w:t>
            </w:r>
            <w:r>
              <w:rPr>
                <w:b/>
                <w:bCs/>
                <w:sz w:val="20"/>
                <w:szCs w:val="20"/>
              </w:rPr>
              <w:t>п/п</w:t>
            </w:r>
          </w:p>
        </w:tc>
        <w:tc>
          <w:tcPr>
            <w:tcW w:w="1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0"/>
                <w:szCs w:val="20"/>
              </w:rPr>
            </w:pPr>
            <w:r>
              <w:rPr>
                <w:b/>
                <w:bCs/>
                <w:sz w:val="20"/>
                <w:szCs w:val="20"/>
              </w:rPr>
              <w:t>Наименование объекта</w:t>
            </w:r>
          </w:p>
        </w:tc>
        <w:tc>
          <w:tcPr>
            <w:tcW w:w="2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0"/>
                <w:szCs w:val="20"/>
                <w:lang w:val="ru-RU"/>
              </w:rPr>
            </w:pPr>
            <w:r>
              <w:rPr>
                <w:b/>
                <w:bCs/>
                <w:sz w:val="20"/>
                <w:szCs w:val="20"/>
                <w:lang w:val="ru-RU"/>
              </w:rPr>
              <w:t xml:space="preserve">Расположение объекта </w:t>
            </w:r>
            <w:r>
              <w:rPr>
                <w:b/>
                <w:bCs/>
                <w:i/>
                <w:iCs/>
                <w:sz w:val="20"/>
                <w:szCs w:val="20"/>
                <w:lang w:val="ru-RU"/>
              </w:rPr>
              <w:t>(место оказания услуг)</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0"/>
                <w:szCs w:val="20"/>
                <w:lang w:val="ru-RU"/>
              </w:rPr>
            </w:pPr>
            <w:r>
              <w:rPr>
                <w:b/>
                <w:bCs/>
                <w:sz w:val="20"/>
                <w:szCs w:val="20"/>
                <w:lang w:val="ru-RU"/>
              </w:rPr>
              <w:t>Наименование основного средства (в отношении которого оказываются услуги)</w:t>
            </w:r>
          </w:p>
        </w:tc>
        <w:tc>
          <w:tcPr>
            <w:tcW w:w="2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0"/>
                <w:szCs w:val="20"/>
              </w:rPr>
            </w:pPr>
            <w:r>
              <w:rPr>
                <w:b/>
                <w:bCs/>
                <w:sz w:val="20"/>
                <w:szCs w:val="20"/>
              </w:rPr>
              <w:t>Примечания</w:t>
            </w:r>
          </w:p>
        </w:tc>
      </w:tr>
      <w:tr>
        <w:trPr>
          <w:trHeight w:val="21" w:hRule="atLeast"/>
        </w:trPr>
        <w:tc>
          <w:tcPr>
            <w:tcW w:w="4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sz w:val="20"/>
                <w:szCs w:val="20"/>
              </w:rPr>
            </w:pPr>
            <w:r>
              <w:rPr>
                <w:b/>
                <w:sz w:val="20"/>
                <w:szCs w:val="20"/>
              </w:rPr>
              <w:t>1</w:t>
            </w:r>
          </w:p>
        </w:tc>
        <w:tc>
          <w:tcPr>
            <w:tcW w:w="17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sz w:val="20"/>
                <w:szCs w:val="20"/>
              </w:rPr>
            </w:pPr>
            <w:r>
              <w:rPr>
                <w:b/>
                <w:sz w:val="20"/>
                <w:szCs w:val="20"/>
              </w:rPr>
              <w:t>2</w:t>
            </w:r>
          </w:p>
        </w:tc>
        <w:tc>
          <w:tcPr>
            <w:tcW w:w="20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sz w:val="20"/>
                <w:szCs w:val="20"/>
              </w:rPr>
            </w:pPr>
            <w:r>
              <w:rPr>
                <w:b/>
                <w:sz w:val="20"/>
                <w:szCs w:val="20"/>
              </w:rPr>
              <w:t>3</w:t>
            </w:r>
          </w:p>
        </w:tc>
        <w:tc>
          <w:tcPr>
            <w:tcW w:w="33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sz w:val="20"/>
                <w:szCs w:val="20"/>
              </w:rPr>
            </w:pPr>
            <w:r>
              <w:rPr>
                <w:b/>
                <w:sz w:val="20"/>
                <w:szCs w:val="20"/>
              </w:rPr>
              <w:t>4</w:t>
            </w:r>
          </w:p>
        </w:tc>
        <w:tc>
          <w:tcPr>
            <w:tcW w:w="2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sz w:val="20"/>
                <w:szCs w:val="20"/>
              </w:rPr>
            </w:pPr>
            <w:r>
              <w:rPr>
                <w:b/>
                <w:sz w:val="20"/>
                <w:szCs w:val="20"/>
              </w:rPr>
              <w:t>5</w:t>
            </w:r>
          </w:p>
        </w:tc>
      </w:tr>
      <w:tr>
        <w:trPr>
          <w:trHeight w:val="2671" w:hRule="atLeast"/>
        </w:trPr>
        <w:tc>
          <w:tcPr>
            <w:tcW w:w="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sz w:val="20"/>
                <w:szCs w:val="20"/>
              </w:rPr>
            </w:pPr>
            <w:r>
              <w:rPr>
                <w:sz w:val="20"/>
                <w:szCs w:val="20"/>
              </w:rPr>
              <w:t>1</w:t>
            </w:r>
          </w:p>
        </w:tc>
        <w:tc>
          <w:tcPr>
            <w:tcW w:w="1745"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spacing w:before="0" w:after="0"/>
              <w:contextualSpacing/>
              <w:jc w:val="center"/>
              <w:rPr>
                <w:iCs/>
                <w:sz w:val="20"/>
                <w:szCs w:val="20"/>
                <w:lang w:val="ru-RU"/>
              </w:rPr>
            </w:pPr>
            <w:r>
              <w:rPr>
                <w:iCs/>
                <w:sz w:val="20"/>
                <w:szCs w:val="20"/>
                <w:lang w:val="ru-RU"/>
              </w:rPr>
              <w:t>Оказание услуг по уборке снега и наледи с крыши на филиале ПАО «РусГидро» - «Новосибирская ГЭС»</w:t>
            </w:r>
          </w:p>
        </w:tc>
        <w:tc>
          <w:tcPr>
            <w:tcW w:w="203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spacing w:before="0" w:after="0"/>
              <w:contextualSpacing/>
              <w:jc w:val="center"/>
              <w:rPr>
                <w:iCs/>
                <w:sz w:val="20"/>
                <w:szCs w:val="20"/>
              </w:rPr>
            </w:pPr>
            <w:r>
              <w:rPr>
                <w:iCs/>
                <w:sz w:val="20"/>
                <w:szCs w:val="20"/>
                <w:lang w:val="ru-RU"/>
              </w:rPr>
              <w:t xml:space="preserve">630056, Российская Федерация, г. Новосибирск, ул. </w:t>
            </w:r>
            <w:r>
              <w:rPr>
                <w:iCs/>
                <w:sz w:val="20"/>
                <w:szCs w:val="20"/>
              </w:rPr>
              <w:t>Новоморская, д.4</w:t>
            </w:r>
          </w:p>
        </w:tc>
        <w:tc>
          <w:tcPr>
            <w:tcW w:w="3356" w:type="dxa"/>
            <w:tcBorders>
              <w:top w:val="single" w:sz="4" w:space="0" w:color="000000"/>
              <w:left w:val="single" w:sz="4" w:space="0" w:color="000000"/>
              <w:bottom w:val="single" w:sz="4" w:space="0" w:color="000000"/>
            </w:tcBorders>
            <w:tcMar>
              <w:top w:w="55" w:type="dxa"/>
              <w:bottom w:w="55" w:type="dxa"/>
            </w:tcMar>
            <w:vAlign w:val="center"/>
          </w:tcPr>
          <w:p>
            <w:pPr>
              <w:pStyle w:val="ListParagraph"/>
              <w:widowControl w:val="false"/>
              <w:numPr>
                <w:ilvl w:val="0"/>
                <w:numId w:val="6"/>
              </w:numPr>
              <w:suppressAutoHyphens w:val="true"/>
              <w:bidi w:val="0"/>
              <w:spacing w:before="0" w:after="0"/>
              <w:contextualSpacing/>
              <w:jc w:val="left"/>
              <w:rPr/>
            </w:pPr>
            <w:r>
              <w:rPr>
                <w:iCs/>
                <w:sz w:val="20"/>
                <w:szCs w:val="20"/>
              </w:rPr>
              <w:t>Здание гидростанции, подводное сооружение, литер А</w:t>
            </w:r>
          </w:p>
          <w:p>
            <w:pPr>
              <w:pStyle w:val="ListParagraph"/>
              <w:widowControl w:val="false"/>
              <w:numPr>
                <w:ilvl w:val="0"/>
                <w:numId w:val="6"/>
              </w:numPr>
              <w:jc w:val="left"/>
              <w:rPr/>
            </w:pPr>
            <w:r>
              <w:rPr>
                <w:iCs/>
                <w:sz w:val="20"/>
                <w:szCs w:val="20"/>
              </w:rPr>
              <w:t>Здание управления Новосибирской ГЭС</w:t>
            </w:r>
          </w:p>
          <w:p>
            <w:pPr>
              <w:pStyle w:val="ListParagraph"/>
              <w:widowControl w:val="false"/>
              <w:numPr>
                <w:ilvl w:val="0"/>
                <w:numId w:val="6"/>
              </w:numPr>
              <w:jc w:val="left"/>
              <w:rPr/>
            </w:pPr>
            <w:r>
              <w:rPr>
                <w:iCs/>
                <w:sz w:val="20"/>
                <w:szCs w:val="20"/>
              </w:rPr>
              <w:t>Здание (гараж на 15 автомашин)</w:t>
            </w:r>
          </w:p>
          <w:p>
            <w:pPr>
              <w:pStyle w:val="ListParagraph"/>
              <w:widowControl w:val="false"/>
              <w:numPr>
                <w:ilvl w:val="0"/>
                <w:numId w:val="6"/>
              </w:numPr>
              <w:jc w:val="left"/>
              <w:rPr/>
            </w:pPr>
            <w:r>
              <w:rPr>
                <w:iCs/>
                <w:sz w:val="20"/>
                <w:szCs w:val="20"/>
              </w:rPr>
              <w:t xml:space="preserve">Здание материально технического склада </w:t>
            </w:r>
            <w:r>
              <w:rPr>
                <w:b w:val="false"/>
                <w:i w:val="false"/>
                <w:iCs/>
                <w:strike w:val="false"/>
                <w:dstrike w:val="false"/>
                <w:outline w:val="false"/>
                <w:shadow w:val="false"/>
                <w:sz w:val="19"/>
                <w:szCs w:val="20"/>
                <w:u w:val="none"/>
                <w:em w:val="none"/>
              </w:rPr>
              <w:t>л</w:t>
            </w:r>
            <w:r>
              <w:rPr>
                <w:b w:val="false"/>
                <w:i w:val="false"/>
                <w:strike w:val="false"/>
                <w:dstrike w:val="false"/>
                <w:outline w:val="false"/>
                <w:shadow w:val="false"/>
                <w:sz w:val="19"/>
                <w:u w:val="none"/>
                <w:em w:val="none"/>
              </w:rPr>
              <w:t>итер А7</w:t>
            </w:r>
          </w:p>
          <w:p>
            <w:pPr>
              <w:pStyle w:val="ListParagraph"/>
              <w:widowControl w:val="false"/>
              <w:numPr>
                <w:ilvl w:val="0"/>
                <w:numId w:val="6"/>
              </w:numPr>
              <w:jc w:val="left"/>
              <w:rPr/>
            </w:pPr>
            <w:r>
              <w:rPr>
                <w:iCs/>
                <w:sz w:val="20"/>
                <w:szCs w:val="20"/>
              </w:rPr>
              <w:t>Здание административное (Здание КПП с помещениями для подразделений охраны).</w:t>
            </w:r>
          </w:p>
        </w:tc>
        <w:tc>
          <w:tcPr>
            <w:tcW w:w="2675"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spacing w:before="0" w:after="0"/>
              <w:contextualSpacing/>
              <w:jc w:val="center"/>
              <w:rPr>
                <w:iCs/>
                <w:sz w:val="20"/>
                <w:szCs w:val="20"/>
                <w:lang w:val="ru-RU"/>
              </w:rPr>
            </w:pPr>
            <w:r>
              <w:rPr>
                <w:iCs/>
                <w:sz w:val="20"/>
                <w:szCs w:val="20"/>
                <w:lang w:val="ru-RU"/>
              </w:rPr>
              <w:t>Эксплуатирующая организация Филиал ПАО «РусГидро»-«Новосибирская ГЭС»</w:t>
            </w:r>
          </w:p>
        </w:tc>
      </w:tr>
    </w:tbl>
    <w:p>
      <w:pPr>
        <w:pStyle w:val="Normal"/>
        <w:tabs>
          <w:tab w:val="clear" w:pos="708"/>
          <w:tab w:val="left" w:pos="5812" w:leader="none"/>
        </w:tabs>
        <w:jc w:val="both"/>
        <w:rPr>
          <w:lang w:val="ru-RU"/>
        </w:rPr>
      </w:pPr>
      <w:r>
        <w:rPr>
          <w:lang w:val="ru-RU"/>
        </w:rPr>
      </w:r>
    </w:p>
    <w:p>
      <w:pPr>
        <w:pStyle w:val="ListParagraph"/>
        <w:numPr>
          <w:ilvl w:val="1"/>
          <w:numId w:val="5"/>
        </w:numPr>
        <w:ind w:left="0" w:firstLine="709"/>
        <w:jc w:val="both"/>
        <w:rPr>
          <w:b/>
          <w:bCs/>
        </w:rPr>
      </w:pPr>
      <w:r>
        <w:rPr>
          <w:b/>
          <w:bCs/>
        </w:rPr>
        <w:t xml:space="preserve">Информация в отношении исполнения договора, </w:t>
      </w:r>
      <w:bookmarkStart w:id="10" w:name="_Hlk46492347"/>
      <w:r>
        <w:rPr>
          <w:b/>
          <w:bCs/>
        </w:rPr>
        <w:t xml:space="preserve">которая должна быть учтена при подготовке заявки </w:t>
      </w:r>
      <w:bookmarkEnd w:id="10"/>
      <w:r>
        <w:rPr>
          <w:b/>
          <w:bCs/>
        </w:rPr>
        <w:t xml:space="preserve">(в том числе перечень ресурсов, услуг и документов, предоставляемых заказчиком на этапе исполнения договора) </w:t>
      </w:r>
    </w:p>
    <w:p>
      <w:pPr>
        <w:pStyle w:val="ListParagraph"/>
        <w:numPr>
          <w:ilvl w:val="2"/>
          <w:numId w:val="5"/>
        </w:numPr>
        <w:ind w:left="0" w:firstLine="709"/>
        <w:jc w:val="both"/>
        <w:rPr/>
      </w:pPr>
      <w:r>
        <w:rPr/>
        <w:t>Выполнение</w:t>
      </w:r>
      <w:r>
        <w:rPr>
          <w:lang w:eastAsia="x-none"/>
        </w:rPr>
        <w:t xml:space="preserve"> работ на высоте производятся методом промышленного альпинизма. </w:t>
      </w:r>
    </w:p>
    <w:p>
      <w:pPr>
        <w:pStyle w:val="Normal"/>
        <w:numPr>
          <w:ilvl w:val="2"/>
          <w:numId w:val="5"/>
        </w:numPr>
        <w:spacing w:before="0" w:after="0"/>
        <w:ind w:left="0" w:firstLine="709"/>
        <w:contextualSpacing/>
        <w:jc w:val="both"/>
        <w:rPr>
          <w:iCs/>
          <w:lang w:val="ru-RU"/>
        </w:rPr>
      </w:pPr>
      <w:r>
        <w:rPr>
          <w:lang w:val="ru-RU"/>
        </w:rPr>
        <w:t>До начала производства работ Исполнитель обязан разработать проект производства работ, который должен быть разработан с соблюдением требований действующего законодательства и в обязательном порядке подлежит согласованию с Филиалом ПАО «РусГидро».</w:t>
      </w:r>
    </w:p>
    <w:p>
      <w:pPr>
        <w:pStyle w:val="Normal"/>
        <w:numPr>
          <w:ilvl w:val="2"/>
          <w:numId w:val="5"/>
        </w:numPr>
        <w:spacing w:before="0" w:after="0"/>
        <w:ind w:left="0" w:firstLine="709"/>
        <w:contextualSpacing/>
        <w:jc w:val="both"/>
        <w:rPr>
          <w:iCs/>
          <w:lang w:val="ru-RU"/>
        </w:rPr>
      </w:pPr>
      <w:r>
        <w:rPr>
          <w:iCs/>
          <w:lang w:val="ru-RU"/>
        </w:rPr>
        <w:t>Допуск персонала исполнителя для оказания услуг должен осуществляться в соответствии с Регламентом процесса «Допуск подрядных организаций на объекты ПАО «РусГидро», утвержденным приказом ПАО «РусГидро» от 28.04.2023 № 300, и «Временным положением о допуске персонала строительно-монтажных организаций и командированного персонала к выполнению работ на объектах ПАО «РусГидро» (утв. приказом ОАО «РусГидро» № 736 от 13.11.2008 г.) с обязательным оформлением необходимых нарядов-допусков.</w:t>
      </w:r>
    </w:p>
    <w:p>
      <w:pPr>
        <w:pStyle w:val="Normal"/>
        <w:numPr>
          <w:ilvl w:val="2"/>
          <w:numId w:val="5"/>
        </w:numPr>
        <w:spacing w:before="0" w:after="0"/>
        <w:ind w:left="0" w:firstLine="709"/>
        <w:contextualSpacing/>
        <w:jc w:val="both"/>
        <w:rPr>
          <w:iCs/>
          <w:lang w:val="ru-RU"/>
        </w:rPr>
      </w:pPr>
      <w:r>
        <w:rPr>
          <w:iCs/>
          <w:lang w:val="ru-RU"/>
        </w:rPr>
        <w:t>Услуги оказываются в таком объёме, который позволяет продолжать эксплуатацию объекта без закупки Заказчиком дополнительных объёмов каких-либо материалов, оборудования и услуг. Услуги считаются оказанными после приёмки услуг с оформлением отчётной документации со стороны Исполнителя.</w:t>
      </w:r>
    </w:p>
    <w:p>
      <w:pPr>
        <w:pStyle w:val="Normal"/>
        <w:jc w:val="both"/>
        <w:rPr>
          <w:iCs/>
          <w:lang w:val="ru-RU" w:eastAsia="x-none"/>
        </w:rPr>
      </w:pPr>
      <w:r>
        <w:rPr>
          <w:iCs/>
          <w:lang w:val="ru-RU" w:eastAsia="x-none"/>
        </w:rPr>
      </w:r>
    </w:p>
    <w:p>
      <w:pPr>
        <w:pStyle w:val="ListParagraph"/>
        <w:ind w:left="0" w:hanging="0"/>
        <w:jc w:val="both"/>
        <w:rPr>
          <w:b/>
          <w:bCs/>
          <w:iCs/>
        </w:rPr>
      </w:pPr>
      <w:r>
        <w:rPr>
          <w:b/>
          <w:bCs/>
          <w:iCs/>
        </w:rPr>
        <w:t xml:space="preserve">            </w:t>
      </w:r>
      <w:r>
        <w:rPr>
          <w:b/>
          <w:bCs/>
          <w:iCs/>
        </w:rPr>
        <w:t>1.6 Требования к составу и квалификации персонала</w:t>
      </w:r>
    </w:p>
    <w:p>
      <w:pPr>
        <w:pStyle w:val="Normal"/>
        <w:ind w:firstLine="709"/>
        <w:jc w:val="both"/>
        <w:rPr>
          <w:b/>
          <w:lang w:val="ru-RU"/>
        </w:rPr>
      </w:pPr>
      <w:r>
        <w:rPr>
          <w:lang w:val="ru-RU"/>
        </w:rPr>
        <w:t>1.6.1. 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Филиалом (руководитель работ, производитель работ).</w:t>
      </w:r>
      <w:r>
        <w:rPr>
          <w:b/>
          <w:lang w:val="ru-RU"/>
        </w:rPr>
        <w:t xml:space="preserve">Наличие удостоверений с группой безопасности работ на высоте: Для руководителя работ не ниже III группы; Для производителя работ не ниже II группы; Для членов бригады не ниже II группы. </w:t>
      </w:r>
      <w:r>
        <w:rPr>
          <w:rFonts w:eastAsia="Calibri"/>
          <w:b/>
          <w:bCs/>
          <w:lang w:val="ru-RU" w:eastAsia="x-none"/>
        </w:rPr>
        <w:t xml:space="preserve">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 </w:t>
      </w:r>
      <w:r>
        <w:rPr>
          <w:b/>
          <w:lang w:val="ru-RU"/>
        </w:rPr>
        <w:t>Группа по электробезопасности не ниже II.</w:t>
      </w:r>
    </w:p>
    <w:p>
      <w:pPr>
        <w:pStyle w:val="ListParagraph"/>
        <w:ind w:left="0" w:firstLine="709"/>
        <w:jc w:val="both"/>
        <w:rPr/>
      </w:pPr>
      <w:r>
        <w:rPr/>
        <w:t>1.6.2. Исполнитель допускается на объект в соответствии с нормативно-правовыми актами по охране труда, Методикой допуска персонала подрядных организаций к выполнению работ на объектах Общества, утвержденной приказом ПАО «РусГидро» от 28.04.2023 № 300 «Об утверждении Регламента процесса «Допуск персонала подрядных организаций на объекты ПАО «РусГидро», и Инструкцией о пропускном и внутриобъектовом режимах филиала ПАО «РусГидро».</w:t>
      </w:r>
    </w:p>
    <w:p>
      <w:pPr>
        <w:pStyle w:val="ListParagraph"/>
        <w:ind w:left="0" w:firstLine="709"/>
        <w:jc w:val="both"/>
        <w:rPr/>
      </w:pPr>
      <w:r>
        <w:rPr/>
        <w:t>1.6.3. Работы /услуги на объектах выполняются в соответствии со следующими требованиями:</w:t>
      </w:r>
    </w:p>
    <w:p>
      <w:pPr>
        <w:pStyle w:val="ListParagraph"/>
        <w:ind w:left="0" w:firstLine="709"/>
        <w:jc w:val="both"/>
        <w:rPr/>
      </w:pPr>
      <w:r>
        <w:rPr/>
        <w:t>- Приказом Минтруда России от 16.11.2020 N 782н. «Об утверждении Правил по охране труда при работе на высоте».</w:t>
      </w:r>
    </w:p>
    <w:p>
      <w:pPr>
        <w:pStyle w:val="ListParagraph"/>
        <w:ind w:left="0" w:firstLine="709"/>
        <w:jc w:val="both"/>
        <w:rPr/>
      </w:pPr>
      <w:r>
        <w:rPr/>
        <w:t xml:space="preserve">- СТО РусГидро 02.01.80-2012 «Гидротехнические сооружения ГЭС и ГАЭС. Правила эксплуатации. Нормы и требования»,  </w:t>
      </w:r>
    </w:p>
    <w:p>
      <w:pPr>
        <w:pStyle w:val="ListParagraph"/>
        <w:ind w:left="0" w:firstLine="709"/>
        <w:jc w:val="both"/>
        <w:rPr/>
      </w:pPr>
      <w:r>
        <w:rPr/>
        <w:t xml:space="preserve">-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w:t>
      </w:r>
    </w:p>
    <w:p>
      <w:pPr>
        <w:pStyle w:val="ListParagraph"/>
        <w:ind w:left="0" w:firstLine="709"/>
        <w:jc w:val="both"/>
        <w:rPr/>
      </w:pPr>
      <w:r>
        <w:rPr/>
        <w:t>- СТО РусГидро 02.01.62 – 2012 ГИДРОЭЛЕКТРОСТАНЦИИ.РЕМОНТ И ТЕХНИЧЕСКОЕ ОБСЛУЖИВАНИЕ ОБОРУДОВАНИЯ, ЗДАНИЙ И СООРУЖЕНИЙ.ОРГАНИЗАЦИЯ ПРОИЗВОДСТВЕННЫХ ПРОЦЕССОВ. НОРМЫ И ТРЕБОВАНИЯ,</w:t>
      </w:r>
    </w:p>
    <w:p>
      <w:pPr>
        <w:pStyle w:val="ListParagraph"/>
        <w:ind w:left="0" w:firstLine="709"/>
        <w:jc w:val="both"/>
        <w:rPr/>
      </w:pPr>
      <w:r>
        <w:rPr/>
        <w:t xml:space="preserve">- Приказа от 15 декабря 2020 г. N 903н «Об утверждении правил по охране труда при эксплуатации электроустановок», </w:t>
      </w:r>
    </w:p>
    <w:p>
      <w:pPr>
        <w:pStyle w:val="ListParagraph"/>
        <w:ind w:left="0" w:firstLine="709"/>
        <w:jc w:val="both"/>
        <w:rPr/>
      </w:pPr>
      <w:r>
        <w:rPr/>
        <w:t>- Национального стандарта РФ ГОСТ Р 55260.1.7-2013,</w:t>
      </w:r>
    </w:p>
    <w:p>
      <w:pPr>
        <w:pStyle w:val="ListParagraph"/>
        <w:ind w:left="0" w:firstLine="709"/>
        <w:jc w:val="both"/>
        <w:rPr/>
      </w:pPr>
      <w:r>
        <w:rPr/>
        <w:t xml:space="preserve">- Приказа Минтруда России от 27.11.2020 N 835н "Об утверждении правил по охране труда при работе с инструментом и приспособлениями" (Зарегистрировано в Минюсте России 11.12.2020 N 61411), </w:t>
      </w:r>
    </w:p>
    <w:p>
      <w:pPr>
        <w:pStyle w:val="ListParagraph"/>
        <w:ind w:left="0" w:firstLine="709"/>
        <w:jc w:val="both"/>
        <w:rPr/>
      </w:pPr>
      <w:r>
        <w:rPr/>
        <w:t>- Федерального закона от 22.07.2008 № 123-ФЗ «Технический регламент о требованиях пожарной безопасности»</w:t>
      </w:r>
    </w:p>
    <w:p>
      <w:pPr>
        <w:pStyle w:val="ListParagraph"/>
        <w:ind w:left="0" w:firstLine="709"/>
        <w:jc w:val="both"/>
        <w:rPr/>
      </w:pPr>
      <w:r>
        <w:rPr/>
        <w:t>- Федерального закона от 24.06.1998 № 89-ФЗ «Об отходах производства и потребления»,</w:t>
      </w:r>
    </w:p>
    <w:p>
      <w:pPr>
        <w:pStyle w:val="ListParagraph"/>
        <w:ind w:left="0" w:firstLine="709"/>
        <w:jc w:val="both"/>
        <w:rPr/>
      </w:pPr>
      <w:r>
        <w:rPr/>
        <w:t xml:space="preserve">- Федерального закона от 10.01.2002 № 7-ФЗ «Об охране окружающей среды», Федерального закона от 30.03.1999 №52-ФЗ «О санитарно-эпидемиологическом благополучии населения», </w:t>
      </w:r>
    </w:p>
    <w:p>
      <w:pPr>
        <w:pStyle w:val="ListParagraph"/>
        <w:ind w:left="0" w:firstLine="709"/>
        <w:jc w:val="both"/>
        <w:rPr/>
      </w:pPr>
      <w:r>
        <w:rPr/>
        <w:t>- Приказа Минтруда России от 29 октября 2021 года № 772н «Об утверждении основных требований к порядку разработки и содержанию правил и инструкций по охране труда»</w:t>
      </w:r>
    </w:p>
    <w:p>
      <w:pPr>
        <w:pStyle w:val="ListParagraph"/>
        <w:ind w:left="0" w:firstLine="709"/>
        <w:jc w:val="both"/>
        <w:rPr/>
      </w:pPr>
      <w:r>
        <w:rPr/>
        <w:t xml:space="preserve">- Приказом Минтруда России </w:t>
      </w:r>
      <w:r>
        <w:rPr>
          <w:lang w:val="en-US"/>
        </w:rPr>
        <w:t>N</w:t>
      </w:r>
      <w:r>
        <w:rPr/>
        <w:t xml:space="preserve"> 988н, Минздрава </w:t>
      </w:r>
      <w:r>
        <w:rPr>
          <w:lang w:val="en-US"/>
        </w:rPr>
        <w:t>N</w:t>
      </w:r>
      <w:r>
        <w:rPr/>
        <w:t xml:space="preserve">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ListParagraph"/>
        <w:ind w:left="0" w:firstLine="709"/>
        <w:jc w:val="both"/>
        <w:rPr/>
      </w:pPr>
      <w:r>
        <w:rPr/>
        <w:t xml:space="preserve">1.6.4. Исполнитель до начала работ согласовывает с Филиалом, необходимые для выполнения работ, организационно-технологические документы. </w:t>
      </w:r>
    </w:p>
    <w:p>
      <w:pPr>
        <w:pStyle w:val="ListParagraph"/>
        <w:ind w:left="0" w:firstLine="709"/>
        <w:jc w:val="both"/>
        <w:rPr/>
      </w:pPr>
      <w:r>
        <w:rPr/>
        <w:t>1.6.5. Документы, подтверждающие квалификацию персонала, прохождение обучения, необходимого для выполнения работ, Исполнитель предоставляет после заключения договора до начала предоставления/выполнения услуг на объекте представителю Заказчика в Филиале по запросу.</w:t>
      </w:r>
    </w:p>
    <w:p>
      <w:pPr>
        <w:pStyle w:val="ListParagraph"/>
        <w:ind w:left="0" w:firstLine="709"/>
        <w:jc w:val="both"/>
        <w:rPr>
          <w:lang w:eastAsia="x-none"/>
        </w:rPr>
      </w:pPr>
      <w:r>
        <w:rPr>
          <w:lang w:eastAsia="x-none"/>
        </w:rPr>
        <w:t>1.6.6. Исполнитель привлекает к выполнению работ/ оказания услуг персонал, владеющим русским языком для ознакомления с инструктажами и иной информацией для допуска к работе на объектах филиала (СП относятся к опасным производственным объектам).</w:t>
      </w:r>
    </w:p>
    <w:p>
      <w:pPr>
        <w:pStyle w:val="ListParagraph"/>
        <w:ind w:left="0" w:firstLine="709"/>
        <w:jc w:val="both"/>
        <w:rPr>
          <w:lang w:eastAsia="x-none"/>
        </w:rPr>
      </w:pPr>
      <w:r>
        <w:rPr>
          <w:lang w:eastAsia="x-none"/>
        </w:rPr>
        <w:t>1.6.7. Не допускаются к работе (отстраняются от работы) персонал в состоянии алкогольного, наркотического или токсического опьянения, а также не допускается перенос и нахождение на территории размещения объектов веществ, вызывающих алкогольное, наркотическое или токсическое опьянение</w:t>
      </w:r>
    </w:p>
    <w:p>
      <w:pPr>
        <w:pStyle w:val="ListParagraph"/>
        <w:ind w:left="0" w:hanging="0"/>
        <w:jc w:val="both"/>
        <w:rPr>
          <w:lang w:eastAsia="x-none"/>
        </w:rPr>
      </w:pPr>
      <w:r>
        <w:rPr>
          <w:lang w:eastAsia="x-none"/>
        </w:rPr>
      </w:r>
    </w:p>
    <w:p>
      <w:pPr>
        <w:pStyle w:val="ListParagraph"/>
        <w:ind w:left="737" w:hanging="0"/>
        <w:jc w:val="both"/>
        <w:rPr>
          <w:b/>
          <w:bCs/>
        </w:rPr>
      </w:pPr>
      <w:r>
        <w:rPr>
          <w:b/>
          <w:bCs/>
        </w:rPr>
        <w:t>1.7</w:t>
      </w:r>
      <w:bookmarkStart w:id="11" w:name="_Toc46743510"/>
      <w:bookmarkStart w:id="12" w:name="_Toc50125126"/>
      <w:bookmarkStart w:id="13" w:name="_Toc54643701"/>
      <w:r>
        <w:rPr>
          <w:b/>
          <w:bCs/>
        </w:rPr>
        <w:t xml:space="preserve"> Требования </w:t>
      </w:r>
      <w:bookmarkEnd w:id="13"/>
      <w:r>
        <w:rPr>
          <w:b/>
          <w:bCs/>
        </w:rPr>
        <w:t>к оказанию услуг</w:t>
      </w:r>
    </w:p>
    <w:p>
      <w:pPr>
        <w:pStyle w:val="ListParagraph"/>
        <w:ind w:left="0" w:firstLine="709"/>
        <w:jc w:val="both"/>
        <w:rPr/>
      </w:pPr>
      <w:r>
        <w:rPr>
          <w:lang w:eastAsia="x-none"/>
        </w:rPr>
        <w:t>1.7.1. Уборку снега и льда выполняется пластиковыми или деревянными лопатами без применения металлических инструментов (ломы, ледорубы и т.п.). В случае обнаружения у работников Исполнителя при оказании услуг металлических инструментов Заказчик имеет право остановить оказание услуг до их замены.</w:t>
      </w:r>
    </w:p>
    <w:p>
      <w:pPr>
        <w:pStyle w:val="ListParagraph"/>
        <w:ind w:left="0" w:firstLine="709"/>
        <w:jc w:val="both"/>
        <w:rPr/>
      </w:pPr>
      <w:r>
        <w:rPr>
          <w:lang w:eastAsia="x-none"/>
        </w:rPr>
        <w:t xml:space="preserve">1.7.2. Услуги по уборке снега и льда оказывать в мягкой не скользкой обуви.  </w:t>
      </w:r>
    </w:p>
    <w:p>
      <w:pPr>
        <w:pStyle w:val="ListParagraph"/>
        <w:ind w:left="0" w:firstLine="709"/>
        <w:jc w:val="both"/>
        <w:rPr/>
      </w:pPr>
      <w:r>
        <w:rPr>
          <w:lang w:eastAsia="x-none"/>
        </w:rPr>
        <w:t>1.7 3.  Перед началом оказания услуг по сбросу снега и льда с крыш зданий необходимо на тротуаре вокруг Объектов Заказчика выставлять мобильные ограждения/ сигнальные ленты и т.п.</w:t>
      </w:r>
    </w:p>
    <w:p>
      <w:pPr>
        <w:pStyle w:val="ListParagraph"/>
        <w:ind w:left="0" w:firstLine="709"/>
        <w:jc w:val="both"/>
        <w:rPr/>
      </w:pPr>
      <w:r>
        <w:rPr>
          <w:lang w:eastAsia="x-none"/>
        </w:rPr>
        <w:t>1.7.4.  При сбрасывании снега и льда с крыш, проезжая часть должна быть освобождена от припаркованного к нему автотранспорта. Функции по освобождению дворов от автотранспорта, включая внешнюю территорию, выполняет Заказчик по заявке Исполнителя (по согласованному времени работ).</w:t>
      </w:r>
    </w:p>
    <w:p>
      <w:pPr>
        <w:pStyle w:val="Normal"/>
        <w:ind w:firstLine="709"/>
        <w:jc w:val="both"/>
        <w:rPr>
          <w:lang w:val="ru-RU"/>
        </w:rPr>
      </w:pPr>
      <w:r>
        <w:rPr>
          <w:lang w:val="ru-RU" w:eastAsia="x-none"/>
        </w:rPr>
        <w:t>1.7.5. Услуги оказываются по предварительным заявкам Заказчика в течении трех суток с момента подачи Заявки Заказчиком. Заказчик предварительно отправляет Заявку на электронную почту Исполнителя, указанную в реквизитной части договора.</w:t>
      </w:r>
    </w:p>
    <w:p>
      <w:pPr>
        <w:pStyle w:val="Normal"/>
        <w:ind w:firstLine="709"/>
        <w:jc w:val="both"/>
        <w:rPr>
          <w:lang w:val="ru-RU"/>
        </w:rPr>
      </w:pPr>
      <w:r>
        <w:rPr>
          <w:lang w:val="ru-RU" w:eastAsia="x-none"/>
        </w:rPr>
        <w:t>1.7.6. После получения подписанной заявки от Заказчика, Исполнитель должен в срок, указанный в заявке, приступить к оказанию услуг по указанному в заявке адресу.</w:t>
      </w:r>
    </w:p>
    <w:p>
      <w:pPr>
        <w:pStyle w:val="Normal"/>
        <w:ind w:firstLine="709"/>
        <w:jc w:val="both"/>
        <w:rPr>
          <w:lang w:val="ru-RU"/>
        </w:rPr>
      </w:pPr>
      <w:r>
        <w:rPr>
          <w:lang w:val="ru-RU" w:eastAsia="x-none"/>
        </w:rPr>
        <w:t xml:space="preserve">1.7.7. Оказание услуг осуществляется в рабочие дни (кроме выходных и праздничных дней), в рабочее время с 08-00 ч. до 17-00 ч. местного времени. </w:t>
      </w:r>
    </w:p>
    <w:p>
      <w:pPr>
        <w:pStyle w:val="Normal"/>
        <w:ind w:firstLine="709"/>
        <w:jc w:val="both"/>
        <w:rPr>
          <w:lang w:val="ru-RU"/>
        </w:rPr>
      </w:pPr>
      <w:r>
        <w:rPr>
          <w:lang w:val="ru-RU" w:eastAsia="x-none"/>
        </w:rPr>
        <w:t xml:space="preserve">1.7.8. По письменной заявке Заказчик вправе организовать оказание услуг в нерабочее время (в том числе в праздничные и выходные дни) без взимания дополнительной платы. </w:t>
      </w:r>
    </w:p>
    <w:p>
      <w:pPr>
        <w:pStyle w:val="ListParagraph"/>
        <w:ind w:left="0" w:firstLine="709"/>
        <w:jc w:val="both"/>
        <w:rPr/>
      </w:pPr>
      <w:r>
        <w:rPr>
          <w:lang w:eastAsia="x-none"/>
        </w:rPr>
        <w:t xml:space="preserve">1.7.9. По окончании оказания услуг по Договору Исполнитель по акту сдает Заказчику кровлю в исправном состоянии. </w:t>
      </w:r>
    </w:p>
    <w:p>
      <w:pPr>
        <w:pStyle w:val="ListParagraph"/>
        <w:ind w:left="0" w:firstLine="709"/>
        <w:jc w:val="both"/>
        <w:rPr/>
      </w:pPr>
      <w:r>
        <w:rPr>
          <w:lang w:eastAsia="x-none"/>
        </w:rPr>
        <w:t>1.7.10. Персонал исполнителя обязан оказывать услуги в рабочей (фирменной) одежде, (специальной одежде), специальной обуви и с помощью других средств индивидуальной защиты, согласно нормам (Приказ Минтруда и соцзащиты РФ от 09.12.2014 № 997н).</w:t>
      </w:r>
    </w:p>
    <w:p>
      <w:pPr>
        <w:pStyle w:val="ListParagraph"/>
        <w:ind w:left="0" w:firstLine="709"/>
        <w:jc w:val="both"/>
        <w:rPr/>
      </w:pPr>
      <w:r>
        <w:rPr>
          <w:lang w:eastAsia="x-none"/>
        </w:rPr>
        <w:t>1.7.11. Исполнитель обеспечивает соблюдение персоналом Исполнителя всех требований промышленной безопасности, пожарной безопасности, охраны труда и внутри-объектового режима.</w:t>
      </w:r>
    </w:p>
    <w:p>
      <w:pPr>
        <w:pStyle w:val="ListParagraph"/>
        <w:ind w:left="0" w:firstLine="709"/>
        <w:jc w:val="both"/>
        <w:rPr/>
      </w:pPr>
      <w:r>
        <w:rPr>
          <w:lang w:eastAsia="x-none"/>
        </w:rPr>
        <w:t>1.7.12. Исполнитель обеспечивает оказание услуг в соответствии с требованиями правил по технике безопасности, охране труда, пожарной безопасности, СанПин.</w:t>
      </w:r>
    </w:p>
    <w:p>
      <w:pPr>
        <w:pStyle w:val="ListParagraph"/>
        <w:ind w:left="0" w:firstLine="709"/>
        <w:jc w:val="both"/>
        <w:rPr/>
      </w:pPr>
      <w:r>
        <w:rPr>
          <w:lang w:eastAsia="x-none"/>
        </w:rPr>
        <w:t>1.7.13. В случае обильного снегопада Исполнитель должен быть готов организовать услуги по уборке снега и льда при необходимости одновременно по всем зданиям, указанным в Таблице №1 настоящих Технических требований, согласно Заявки представителя Заказчика на Объектах в течении трех суток с момента подачи Заявки.</w:t>
      </w:r>
    </w:p>
    <w:p>
      <w:pPr>
        <w:pStyle w:val="ListParagraph"/>
        <w:ind w:left="0" w:firstLine="709"/>
        <w:jc w:val="both"/>
        <w:rPr/>
      </w:pPr>
      <w:r>
        <w:rPr>
          <w:lang w:eastAsia="x-none"/>
        </w:rPr>
        <w:t xml:space="preserve">1.7.14. Исполнитель самостоятельно организовывает сбор, вывоз и утилизацию снега и льда после оказания услуг за территорию филиала. </w:t>
      </w:r>
    </w:p>
    <w:p>
      <w:pPr>
        <w:pStyle w:val="Normal"/>
        <w:ind w:firstLine="709"/>
        <w:jc w:val="both"/>
        <w:rPr>
          <w:lang w:val="ru-RU"/>
        </w:rPr>
      </w:pPr>
      <w:r>
        <w:rPr>
          <w:lang w:val="ru-RU" w:eastAsia="x-none"/>
        </w:rPr>
        <w:t>1.7.15. Услуги должны осуществляться в соответствии с потребностями Заказчика, в зависимости от природно-климатических условий.</w:t>
      </w:r>
    </w:p>
    <w:p>
      <w:pPr>
        <w:pStyle w:val="ListParagraph"/>
        <w:ind w:left="0" w:hanging="0"/>
        <w:rPr>
          <w:b/>
          <w:bCs/>
        </w:rPr>
      </w:pPr>
      <w:r>
        <w:rPr>
          <w:b/>
          <w:bCs/>
        </w:rPr>
      </w:r>
    </w:p>
    <w:p>
      <w:pPr>
        <w:pStyle w:val="ListParagraph"/>
        <w:spacing w:lineRule="auto" w:line="276"/>
        <w:ind w:left="0" w:hanging="0"/>
        <w:jc w:val="center"/>
        <w:rPr>
          <w:sz w:val="28"/>
        </w:rPr>
      </w:pPr>
      <w:r>
        <w:rPr>
          <w:b/>
          <w:bCs/>
          <w:sz w:val="28"/>
        </w:rPr>
        <w:t xml:space="preserve">2. </w:t>
      </w:r>
      <w:bookmarkStart w:id="14" w:name="_Toc54643702"/>
      <w:bookmarkStart w:id="15" w:name="_Toc51339693"/>
      <w:r>
        <w:rPr>
          <w:b/>
          <w:bCs/>
          <w:sz w:val="28"/>
        </w:rPr>
        <w:t>Требования к продукции</w:t>
      </w:r>
      <w:bookmarkEnd w:id="14"/>
      <w:bookmarkEnd w:id="15"/>
    </w:p>
    <w:p>
      <w:pPr>
        <w:pStyle w:val="ListParagraph"/>
        <w:spacing w:lineRule="auto" w:line="276"/>
        <w:ind w:left="0" w:hanging="0"/>
        <w:jc w:val="both"/>
        <w:rPr>
          <w:b/>
          <w:bCs/>
        </w:rPr>
      </w:pPr>
      <w:r>
        <w:rPr>
          <w:b/>
          <w:bCs/>
        </w:rPr>
        <w:t xml:space="preserve">2.1 </w:t>
      </w:r>
      <w:bookmarkStart w:id="16" w:name="_Toc54643703"/>
      <w:r>
        <w:rPr>
          <w:b/>
          <w:bCs/>
        </w:rPr>
        <w:t>Требования к объемам и срокам оказания услуг</w:t>
      </w:r>
      <w:bookmarkEnd w:id="16"/>
    </w:p>
    <w:p>
      <w:pPr>
        <w:pStyle w:val="ListParagraph"/>
        <w:spacing w:lineRule="auto" w:line="276"/>
        <w:ind w:left="0" w:hanging="0"/>
        <w:jc w:val="both"/>
        <w:rPr>
          <w:b/>
          <w:bCs/>
        </w:rPr>
      </w:pPr>
      <w:r>
        <w:rPr>
          <w:b/>
          <w:bCs/>
        </w:rPr>
        <w:t xml:space="preserve">2.1.1 </w:t>
      </w:r>
      <w:bookmarkStart w:id="17" w:name="_Toc54643704"/>
      <w:r>
        <w:rPr>
          <w:b/>
          <w:bCs/>
        </w:rPr>
        <w:t>Требования к перечню и объему услуг</w:t>
      </w:r>
      <w:bookmarkEnd w:id="17"/>
    </w:p>
    <w:p>
      <w:pPr>
        <w:pStyle w:val="Normal"/>
        <w:spacing w:lineRule="auto" w:line="276"/>
        <w:jc w:val="both"/>
        <w:rPr>
          <w:b/>
          <w:bCs/>
          <w:lang w:val="ru-RU"/>
        </w:rPr>
      </w:pPr>
      <w:bookmarkStart w:id="18" w:name="_Toc54643705"/>
      <w:bookmarkStart w:id="19" w:name="_Toc51339695"/>
      <w:r>
        <w:rPr>
          <w:b/>
          <w:bCs/>
          <w:lang w:val="ru-RU"/>
        </w:rPr>
        <w:t xml:space="preserve">Таблица 2. Перечень </w:t>
      </w:r>
      <w:bookmarkEnd w:id="19"/>
      <w:r>
        <w:rPr>
          <w:b/>
          <w:bCs/>
          <w:lang w:val="ru-RU"/>
        </w:rPr>
        <w:t>и объем оказываемых услуг</w:t>
      </w:r>
      <w:bookmarkEnd w:id="18"/>
    </w:p>
    <w:tbl>
      <w:tblPr>
        <w:tblW w:w="10093" w:type="dxa"/>
        <w:jc w:val="left"/>
        <w:tblInd w:w="334" w:type="dxa"/>
        <w:tblLayout w:type="fixed"/>
        <w:tblCellMar>
          <w:top w:w="0" w:type="dxa"/>
          <w:left w:w="108" w:type="dxa"/>
          <w:bottom w:w="0" w:type="dxa"/>
          <w:right w:w="108" w:type="dxa"/>
        </w:tblCellMar>
        <w:tblLook w:val="0000" w:noVBand="0" w:noHBand="0" w:lastColumn="0" w:firstColumn="0" w:lastRow="0" w:firstRow="0"/>
      </w:tblPr>
      <w:tblGrid>
        <w:gridCol w:w="655"/>
        <w:gridCol w:w="3904"/>
        <w:gridCol w:w="1108"/>
        <w:gridCol w:w="2213"/>
        <w:gridCol w:w="2213"/>
      </w:tblGrid>
      <w:tr>
        <w:trPr/>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sz w:val="20"/>
                <w:szCs w:val="20"/>
              </w:rPr>
            </w:pPr>
            <w:bookmarkStart w:id="20" w:name="_Hlk151727412"/>
            <w:bookmarkEnd w:id="20"/>
            <w:r>
              <w:rPr>
                <w:b/>
                <w:bCs/>
                <w:sz w:val="20"/>
                <w:szCs w:val="20"/>
              </w:rPr>
              <w:t>№</w:t>
            </w:r>
          </w:p>
          <w:p>
            <w:pPr>
              <w:pStyle w:val="Normal"/>
              <w:keepNext w:val="true"/>
              <w:widowControl w:val="false"/>
              <w:jc w:val="center"/>
              <w:rPr>
                <w:b/>
                <w:bCs/>
                <w:sz w:val="20"/>
                <w:szCs w:val="20"/>
              </w:rPr>
            </w:pPr>
            <w:r>
              <w:rPr>
                <w:b/>
                <w:bCs/>
                <w:sz w:val="20"/>
                <w:szCs w:val="20"/>
              </w:rPr>
              <w:t>п/п</w:t>
            </w:r>
          </w:p>
        </w:tc>
        <w:tc>
          <w:tcPr>
            <w:tcW w:w="390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sz w:val="20"/>
                <w:szCs w:val="20"/>
              </w:rPr>
            </w:pPr>
            <w:r>
              <w:rPr>
                <w:b/>
                <w:bCs/>
                <w:sz w:val="20"/>
                <w:szCs w:val="20"/>
              </w:rPr>
              <w:t>Наименование услуг</w:t>
            </w:r>
          </w:p>
        </w:tc>
        <w:tc>
          <w:tcPr>
            <w:tcW w:w="11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sz w:val="20"/>
                <w:szCs w:val="20"/>
              </w:rPr>
            </w:pPr>
            <w:r>
              <w:rPr>
                <w:b/>
                <w:bCs/>
                <w:sz w:val="20"/>
                <w:szCs w:val="20"/>
              </w:rPr>
              <w:t>Единица измерения</w:t>
            </w:r>
          </w:p>
        </w:tc>
        <w:tc>
          <w:tcPr>
            <w:tcW w:w="2213" w:type="dxa"/>
            <w:tcBorders>
              <w:top w:val="single" w:sz="4" w:space="0" w:color="000000"/>
              <w:left w:val="single" w:sz="4" w:space="0" w:color="000000"/>
              <w:bottom w:val="single" w:sz="4" w:space="0" w:color="000000"/>
            </w:tcBorders>
            <w:vAlign w:val="center"/>
          </w:tcPr>
          <w:p>
            <w:pPr>
              <w:pStyle w:val="Normal"/>
              <w:keepNext w:val="true"/>
              <w:widowControl w:val="false"/>
              <w:jc w:val="center"/>
              <w:rPr>
                <w:b/>
                <w:bCs/>
                <w:sz w:val="20"/>
                <w:szCs w:val="20"/>
                <w:lang w:val="ru-RU"/>
              </w:rPr>
            </w:pPr>
            <w:r>
              <w:rPr>
                <w:b/>
                <w:bCs/>
                <w:sz w:val="20"/>
                <w:szCs w:val="20"/>
                <w:lang w:val="ru-RU"/>
              </w:rPr>
              <w:t>Количество за период действия договора*</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sz w:val="20"/>
                <w:szCs w:val="20"/>
                <w:lang w:val="ru-RU"/>
              </w:rPr>
            </w:pPr>
            <w:r>
              <w:rPr>
                <w:b/>
                <w:bCs/>
                <w:sz w:val="20"/>
                <w:szCs w:val="20"/>
                <w:lang w:val="ru-RU"/>
              </w:rPr>
              <w:t>Периодичность</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1</w:t>
            </w:r>
          </w:p>
        </w:tc>
        <w:tc>
          <w:tcPr>
            <w:tcW w:w="39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2</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2213" w:type="dxa"/>
            <w:tcBorders>
              <w:top w:val="single" w:sz="4" w:space="0" w:color="000000"/>
              <w:left w:val="single" w:sz="4" w:space="0" w:color="000000"/>
              <w:bottom w:val="single" w:sz="4" w:space="0" w:color="000000"/>
            </w:tcBorders>
          </w:tcPr>
          <w:p>
            <w:pPr>
              <w:pStyle w:val="Normal"/>
              <w:widowControl w:val="false"/>
              <w:jc w:val="center"/>
              <w:rPr>
                <w:b/>
                <w:sz w:val="20"/>
                <w:szCs w:val="20"/>
              </w:rPr>
            </w:pPr>
            <w:r>
              <w:rPr>
                <w:b/>
                <w:sz w:val="20"/>
                <w:szCs w:val="20"/>
              </w:rPr>
              <w:t>4</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r>
      <w:tr>
        <w:trPr/>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iCs/>
                <w:sz w:val="20"/>
                <w:szCs w:val="20"/>
              </w:rPr>
              <w:t>1</w:t>
            </w:r>
          </w:p>
        </w:tc>
        <w:tc>
          <w:tcPr>
            <w:tcW w:w="3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lang w:val="ru-RU"/>
              </w:rPr>
            </w:pPr>
            <w:r>
              <w:rPr>
                <w:iCs/>
                <w:sz w:val="20"/>
                <w:szCs w:val="20"/>
                <w:lang w:val="ru-RU"/>
              </w:rPr>
              <w:t>ОКПД2 81.29.12.000 Оказание услуг по уборке снега и наледи с крыш объектов филиала ПАО «РусГидро» - «Новосибирская ГЭС»</w:t>
            </w:r>
          </w:p>
        </w:tc>
        <w:tc>
          <w:tcPr>
            <w:tcW w:w="1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Cs/>
                <w:sz w:val="20"/>
                <w:szCs w:val="20"/>
                <w:vertAlign w:val="superscript"/>
              </w:rPr>
            </w:pPr>
            <w:r>
              <w:rPr>
                <w:iCs/>
                <w:sz w:val="20"/>
                <w:szCs w:val="20"/>
              </w:rPr>
              <w:t>м</w:t>
            </w:r>
            <w:r>
              <w:rPr>
                <w:iCs/>
                <w:sz w:val="20"/>
                <w:szCs w:val="20"/>
                <w:vertAlign w:val="superscript"/>
              </w:rPr>
              <w:t>2</w:t>
            </w:r>
          </w:p>
        </w:tc>
        <w:tc>
          <w:tcPr>
            <w:tcW w:w="2213" w:type="dxa"/>
            <w:tcBorders>
              <w:top w:val="single" w:sz="4" w:space="0" w:color="000000"/>
              <w:left w:val="single" w:sz="4" w:space="0" w:color="000000"/>
              <w:bottom w:val="single" w:sz="4" w:space="0" w:color="000000"/>
            </w:tcBorders>
            <w:vAlign w:val="center"/>
          </w:tcPr>
          <w:p>
            <w:pPr>
              <w:pStyle w:val="Normal"/>
              <w:widowControl w:val="false"/>
              <w:jc w:val="center"/>
              <w:rPr>
                <w:iCs/>
                <w:sz w:val="20"/>
                <w:szCs w:val="20"/>
                <w:lang w:val="ru-RU"/>
              </w:rPr>
            </w:pPr>
            <w:r>
              <w:rPr>
                <w:iCs/>
                <w:sz w:val="20"/>
                <w:szCs w:val="20"/>
                <w:lang w:val="ru-RU"/>
              </w:rPr>
              <w:t>12 828,00</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Cs/>
                <w:sz w:val="20"/>
                <w:szCs w:val="20"/>
                <w:lang w:val="ru-RU"/>
              </w:rPr>
            </w:pPr>
            <w:r>
              <w:rPr>
                <w:iCs/>
                <w:sz w:val="20"/>
                <w:szCs w:val="20"/>
                <w:lang w:val="ru-RU"/>
              </w:rPr>
              <w:t>По Заявкам Заказчика в зависимости от климатических условий</w:t>
            </w:r>
          </w:p>
        </w:tc>
      </w:tr>
    </w:tbl>
    <w:p>
      <w:pPr>
        <w:pStyle w:val="Normal"/>
        <w:widowControl w:val="false"/>
        <w:tabs>
          <w:tab w:val="clear" w:pos="708"/>
          <w:tab w:val="left" w:pos="426" w:leader="none"/>
        </w:tabs>
        <w:ind w:firstLine="709"/>
        <w:jc w:val="both"/>
        <w:rPr>
          <w:sz w:val="20"/>
          <w:szCs w:val="20"/>
          <w:highlight w:val="none"/>
          <w:shd w:fill="auto" w:val="clear"/>
        </w:rPr>
      </w:pPr>
      <w:r>
        <w:rPr>
          <w:b/>
          <w:i/>
          <w:sz w:val="20"/>
          <w:szCs w:val="20"/>
          <w:shd w:fill="auto" w:val="clear"/>
          <w:lang w:val="ru-RU"/>
        </w:rPr>
        <w:t>*Указывается ориентировочный объем услуг. Объем услуг может быть изменен исходя из действительной потребности Заказчика на филиале. Исполнитель имеет право по согласованию с Заказчиком выполнить не полный объем услуг.</w:t>
      </w:r>
    </w:p>
    <w:p>
      <w:pPr>
        <w:pStyle w:val="Normal"/>
        <w:widowControl w:val="false"/>
        <w:tabs>
          <w:tab w:val="clear" w:pos="708"/>
          <w:tab w:val="left" w:pos="426" w:leader="none"/>
        </w:tabs>
        <w:ind w:firstLine="709"/>
        <w:rPr>
          <w:b/>
          <w:i/>
          <w:i/>
          <w:sz w:val="20"/>
          <w:szCs w:val="20"/>
          <w:highlight w:val="none"/>
          <w:shd w:fill="auto" w:val="clear"/>
          <w:lang w:val="ru-RU"/>
        </w:rPr>
      </w:pPr>
      <w:r>
        <w:rPr>
          <w:b/>
          <w:i/>
          <w:sz w:val="20"/>
          <w:szCs w:val="20"/>
          <w:shd w:fill="auto" w:val="clear"/>
          <w:lang w:val="ru-RU"/>
        </w:rPr>
      </w:r>
    </w:p>
    <w:p>
      <w:pPr>
        <w:pStyle w:val="ListParagraph"/>
        <w:spacing w:lineRule="auto" w:line="276"/>
        <w:ind w:left="0" w:hanging="0"/>
        <w:jc w:val="both"/>
        <w:rPr>
          <w:b/>
        </w:rPr>
      </w:pPr>
      <w:r>
        <w:rPr>
          <w:b/>
        </w:rPr>
        <w:t xml:space="preserve">2.1.2 </w:t>
      </w:r>
      <w:bookmarkStart w:id="21" w:name="_Toc54643706"/>
      <w:bookmarkStart w:id="22" w:name="_Toc51339696"/>
      <w:r>
        <w:rPr>
          <w:b/>
        </w:rPr>
        <w:t xml:space="preserve">Требования </w:t>
      </w:r>
      <w:bookmarkEnd w:id="22"/>
      <w:r>
        <w:rPr>
          <w:b/>
        </w:rPr>
        <w:t>к срокам оказания услуг</w:t>
      </w:r>
      <w:bookmarkEnd w:id="21"/>
    </w:p>
    <w:p>
      <w:pPr>
        <w:pStyle w:val="Normal"/>
        <w:spacing w:lineRule="auto" w:line="276"/>
        <w:jc w:val="both"/>
        <w:rPr>
          <w:b/>
          <w:bCs/>
          <w:lang w:val="ru-RU"/>
        </w:rPr>
      </w:pPr>
      <w:bookmarkStart w:id="23" w:name="_Toc54643707"/>
      <w:bookmarkStart w:id="24" w:name="_Toc51339697"/>
      <w:bookmarkStart w:id="25" w:name="_Toc50125127"/>
      <w:bookmarkEnd w:id="12"/>
      <w:r>
        <w:rPr>
          <w:b/>
          <w:bCs/>
          <w:lang w:val="ru-RU"/>
        </w:rPr>
        <w:t xml:space="preserve">Таблица 3. </w:t>
      </w:r>
      <w:bookmarkStart w:id="26" w:name="_Hlk50465284"/>
      <w:r>
        <w:rPr>
          <w:b/>
          <w:bCs/>
          <w:lang w:val="ru-RU" w:eastAsia="x-none"/>
        </w:rPr>
        <w:t>Требования</w:t>
      </w:r>
      <w:r>
        <w:rPr>
          <w:b/>
          <w:bCs/>
          <w:lang w:val="ru-RU"/>
        </w:rPr>
        <w:t xml:space="preserve"> к срокам </w:t>
      </w:r>
      <w:bookmarkEnd w:id="24"/>
      <w:bookmarkEnd w:id="25"/>
      <w:bookmarkEnd w:id="26"/>
      <w:r>
        <w:rPr>
          <w:b/>
          <w:bCs/>
          <w:lang w:val="ru-RU"/>
        </w:rPr>
        <w:t>оказания услуг</w:t>
      </w:r>
      <w:bookmarkEnd w:id="23"/>
    </w:p>
    <w:tbl>
      <w:tblPr>
        <w:tblW w:w="10253" w:type="dxa"/>
        <w:jc w:val="left"/>
        <w:tblInd w:w="174" w:type="dxa"/>
        <w:tblLayout w:type="fixed"/>
        <w:tblCellMar>
          <w:top w:w="0" w:type="dxa"/>
          <w:left w:w="108" w:type="dxa"/>
          <w:bottom w:w="0" w:type="dxa"/>
          <w:right w:w="108" w:type="dxa"/>
        </w:tblCellMar>
        <w:tblLook w:val="04a0" w:noVBand="1" w:noHBand="0" w:lastColumn="0" w:firstColumn="1" w:lastRow="0" w:firstRow="1"/>
      </w:tblPr>
      <w:tblGrid>
        <w:gridCol w:w="633"/>
        <w:gridCol w:w="4814"/>
        <w:gridCol w:w="2475"/>
        <w:gridCol w:w="2330"/>
      </w:tblGrid>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 xml:space="preserve">№ </w:t>
            </w:r>
            <w:r>
              <w:rPr>
                <w:b/>
                <w:bCs/>
                <w:sz w:val="20"/>
                <w:szCs w:val="20"/>
              </w:rPr>
              <w:t>п/п</w:t>
            </w:r>
          </w:p>
        </w:tc>
        <w:tc>
          <w:tcPr>
            <w:tcW w:w="4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Наименование услуг/ этапа услуг</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lang w:val="ru-RU"/>
              </w:rPr>
            </w:pPr>
            <w:r>
              <w:rPr>
                <w:b/>
                <w:bCs/>
                <w:sz w:val="20"/>
                <w:szCs w:val="20"/>
                <w:lang w:val="ru-RU"/>
              </w:rPr>
              <w:t>Требования к началу срока оказания услуг/ этапа услуг</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lang w:val="ru-RU"/>
              </w:rPr>
            </w:pPr>
            <w:r>
              <w:rPr>
                <w:b/>
                <w:bCs/>
                <w:sz w:val="20"/>
                <w:szCs w:val="20"/>
                <w:lang w:val="ru-RU"/>
              </w:rPr>
              <w:t>Требования к окончанию срока оказания услуг / этапа услуг</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b/>
                <w:sz w:val="20"/>
                <w:szCs w:val="20"/>
              </w:rPr>
              <w:t>1</w:t>
            </w:r>
          </w:p>
        </w:tc>
        <w:tc>
          <w:tcPr>
            <w:tcW w:w="4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b/>
                <w:sz w:val="20"/>
                <w:szCs w:val="20"/>
              </w:rPr>
              <w:t>2</w:t>
            </w:r>
          </w:p>
        </w:tc>
        <w:tc>
          <w:tcPr>
            <w:tcW w:w="247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0" w:after="0"/>
              <w:ind w:left="0" w:right="0" w:hanging="0"/>
              <w:jc w:val="center"/>
              <w:rPr>
                <w:sz w:val="20"/>
                <w:szCs w:val="20"/>
              </w:rPr>
            </w:pPr>
            <w:r>
              <w:rPr>
                <w:b/>
                <w:sz w:val="20"/>
                <w:szCs w:val="20"/>
              </w:rPr>
              <w:t>3</w:t>
            </w:r>
          </w:p>
        </w:tc>
        <w:tc>
          <w:tcPr>
            <w:tcW w:w="2330"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0" w:after="0"/>
              <w:ind w:left="0" w:right="0" w:hanging="0"/>
              <w:jc w:val="center"/>
              <w:rPr>
                <w:sz w:val="20"/>
                <w:szCs w:val="20"/>
              </w:rPr>
            </w:pPr>
            <w:r>
              <w:rPr>
                <w:b/>
                <w:sz w:val="20"/>
                <w:szCs w:val="20"/>
              </w:rPr>
              <w:t>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4"/>
              </w:numPr>
              <w:ind w:left="0" w:hanging="0"/>
              <w:rPr>
                <w:sz w:val="20"/>
                <w:szCs w:val="20"/>
              </w:rPr>
            </w:pPr>
            <w:r>
              <w:rPr>
                <w:sz w:val="20"/>
                <w:szCs w:val="20"/>
              </w:rPr>
            </w:r>
          </w:p>
        </w:tc>
        <w:tc>
          <w:tcPr>
            <w:tcW w:w="4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0"/>
                <w:szCs w:val="20"/>
                <w:lang w:val="ru-RU"/>
              </w:rPr>
            </w:pPr>
            <w:r>
              <w:rPr>
                <w:iCs/>
                <w:sz w:val="20"/>
                <w:szCs w:val="20"/>
                <w:lang w:val="ru-RU"/>
              </w:rPr>
              <w:t>ОКПД2 81.29.12.000 Оказание услуг по уборке снега и наледи с крыш объектов филиала ПАО «РусГидро» - «Новосибирская ГЭС»</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01.01.2027</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rPr>
              <w:t>31.12.202</w:t>
            </w:r>
            <w:bookmarkEnd w:id="11"/>
            <w:r>
              <w:rPr>
                <w:sz w:val="20"/>
                <w:szCs w:val="20"/>
                <w:lang w:val="ru-RU"/>
              </w:rPr>
              <w:t>7</w:t>
            </w:r>
          </w:p>
        </w:tc>
      </w:tr>
    </w:tbl>
    <w:p>
      <w:pPr>
        <w:sectPr>
          <w:headerReference w:type="default" r:id="rId2"/>
          <w:footerReference w:type="default" r:id="rId3"/>
          <w:type w:val="nextPage"/>
          <w:pgSz w:w="11906" w:h="16838"/>
          <w:pgMar w:left="1134" w:right="567" w:gutter="0" w:header="567" w:top="1134" w:footer="709" w:bottom="1134"/>
          <w:pgNumType w:fmt="decimal"/>
          <w:formProt w:val="false"/>
          <w:titlePg/>
          <w:textDirection w:val="lrTb"/>
          <w:docGrid w:type="default" w:linePitch="360" w:charSpace="0"/>
        </w:sectPr>
      </w:pPr>
    </w:p>
    <w:p>
      <w:pPr>
        <w:pStyle w:val="ListParagraph"/>
        <w:ind w:left="0" w:hanging="0"/>
        <w:jc w:val="both"/>
        <w:rPr>
          <w:b/>
          <w:bCs/>
        </w:rPr>
      </w:pPr>
      <w:r>
        <w:rPr>
          <w:b/>
          <w:bCs/>
        </w:rPr>
        <w:t xml:space="preserve">2.2. </w:t>
      </w:r>
      <w:bookmarkStart w:id="27" w:name="_Toc54643709"/>
      <w:bookmarkStart w:id="28" w:name="_Toc51339698"/>
      <w:bookmarkStart w:id="29" w:name="_Toc54643708"/>
      <w:bookmarkStart w:id="30" w:name="_Toc46743511"/>
      <w:r>
        <w:rPr>
          <w:b/>
          <w:bCs/>
        </w:rPr>
        <w:t xml:space="preserve">Требования к </w:t>
      </w:r>
      <w:bookmarkEnd w:id="30"/>
      <w:r>
        <w:rPr>
          <w:b/>
          <w:bCs/>
        </w:rPr>
        <w:t>качеству услуг</w:t>
      </w:r>
      <w:bookmarkEnd w:id="29"/>
    </w:p>
    <w:p>
      <w:pPr>
        <w:pStyle w:val="Normal"/>
        <w:jc w:val="both"/>
        <w:rPr>
          <w:b/>
          <w:bCs/>
        </w:rPr>
      </w:pPr>
      <w:r>
        <w:rPr>
          <w:b/>
          <w:bCs/>
        </w:rPr>
        <w:t xml:space="preserve">Таблица 4. Требования к </w:t>
      </w:r>
      <w:bookmarkEnd w:id="28"/>
      <w:r>
        <w:rPr>
          <w:b/>
          <w:bCs/>
        </w:rPr>
        <w:t>качеству услуг</w:t>
      </w:r>
      <w:bookmarkEnd w:id="27"/>
      <w:r>
        <w:rPr>
          <w:b/>
          <w:bCs/>
        </w:rPr>
        <w:t xml:space="preserve"> </w:t>
      </w:r>
    </w:p>
    <w:p>
      <w:pPr>
        <w:pStyle w:val="Normal"/>
        <w:rPr>
          <w:i/>
          <w:i/>
          <w:iCs/>
          <w:shd w:fill="FFFF99" w:val="clear"/>
          <w:lang w:val="ru-RU"/>
        </w:rPr>
      </w:pPr>
      <w:r>
        <w:rPr>
          <w:b/>
          <w:lang w:val="ru-RU"/>
        </w:rPr>
        <w:t>Наименование услуг/этапа услуг:</w:t>
      </w:r>
      <w:r>
        <w:rPr>
          <w:lang w:val="ru-RU"/>
        </w:rPr>
        <w:t xml:space="preserve"> ОКПД2 81.29.12.000 Оказание услуг по уборке снега и наледи с крыш объектов филиала ПАО «РусГидро» - «Новосибирская ГЭС»</w:t>
      </w:r>
    </w:p>
    <w:p>
      <w:pPr>
        <w:pStyle w:val="Normal"/>
        <w:jc w:val="center"/>
        <w:rPr>
          <w:b/>
          <w:lang w:val="ru-RU"/>
        </w:rPr>
      </w:pPr>
      <w:r>
        <w:rPr>
          <w:b/>
          <w:lang w:val="ru-RU"/>
        </w:rPr>
      </w:r>
    </w:p>
    <w:tbl>
      <w:tblPr>
        <w:tblStyle w:val="afff"/>
        <w:tblW w:w="14745" w:type="dxa"/>
        <w:jc w:val="left"/>
        <w:tblInd w:w="221" w:type="dxa"/>
        <w:tblLayout w:type="fixed"/>
        <w:tblCellMar>
          <w:top w:w="0" w:type="dxa"/>
          <w:left w:w="108" w:type="dxa"/>
          <w:bottom w:w="0" w:type="dxa"/>
          <w:right w:w="108" w:type="dxa"/>
        </w:tblCellMar>
        <w:tblLook w:val="04a0" w:noVBand="1" w:noHBand="0" w:lastColumn="0" w:firstColumn="1" w:lastRow="0" w:firstRow="1"/>
      </w:tblPr>
      <w:tblGrid>
        <w:gridCol w:w="843"/>
        <w:gridCol w:w="3226"/>
        <w:gridCol w:w="4713"/>
        <w:gridCol w:w="2331"/>
        <w:gridCol w:w="1818"/>
        <w:gridCol w:w="1813"/>
      </w:tblGrid>
      <w:tr>
        <w:trPr>
          <w:trHeight w:val="20" w:hRule="atLeast"/>
        </w:trPr>
        <w:tc>
          <w:tcPr>
            <w:tcW w:w="843" w:type="dxa"/>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 xml:space="preserve">№ </w:t>
            </w:r>
            <w:r>
              <w:rPr>
                <w:rFonts w:eastAsia="Times New Roman" w:cs="Times New Roman"/>
                <w:b/>
                <w:bCs/>
                <w:kern w:val="0"/>
                <w:sz w:val="20"/>
                <w:szCs w:val="20"/>
                <w:lang w:eastAsia="ru-RU" w:bidi="ar-SA"/>
              </w:rPr>
              <w:t>п/п</w:t>
            </w:r>
          </w:p>
        </w:tc>
        <w:tc>
          <w:tcPr>
            <w:tcW w:w="3226" w:type="dxa"/>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Наименование параметра</w:t>
            </w:r>
          </w:p>
        </w:tc>
        <w:tc>
          <w:tcPr>
            <w:tcW w:w="4713" w:type="dxa"/>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Требование заказчика</w:t>
            </w:r>
          </w:p>
        </w:tc>
        <w:tc>
          <w:tcPr>
            <w:tcW w:w="4149" w:type="dxa"/>
            <w:gridSpan w:val="2"/>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c>
          <w:tcPr>
            <w:tcW w:w="1813" w:type="dxa"/>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Предложение участника по характеристикам и параметрам</w:t>
            </w:r>
          </w:p>
        </w:tc>
      </w:tr>
      <w:tr>
        <w:trPr>
          <w:trHeight w:val="20" w:hRule="atLeast"/>
        </w:trPr>
        <w:tc>
          <w:tcPr>
            <w:tcW w:w="843" w:type="dxa"/>
            <w:vMerge w:val="continue"/>
            <w:tcBorders/>
          </w:tcPr>
          <w:p>
            <w:pPr>
              <w:pStyle w:val="Normal"/>
              <w:widowControl w:val="false"/>
              <w:suppressAutoHyphens w:val="true"/>
              <w:spacing w:before="0" w:after="0"/>
              <w:jc w:val="left"/>
              <w:rPr>
                <w:b/>
                <w:bCs/>
                <w:sz w:val="20"/>
                <w:szCs w:val="20"/>
                <w:lang w:val="ru-RU"/>
              </w:rPr>
            </w:pPr>
            <w:r>
              <w:rPr>
                <w:b/>
                <w:bCs/>
                <w:sz w:val="20"/>
                <w:szCs w:val="20"/>
                <w:lang w:val="ru-RU"/>
              </w:rPr>
            </w:r>
          </w:p>
        </w:tc>
        <w:tc>
          <w:tcPr>
            <w:tcW w:w="3226" w:type="dxa"/>
            <w:vMerge w:val="continue"/>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4713" w:type="dxa"/>
            <w:vMerge w:val="continue"/>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2331" w:type="dxa"/>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Согласие с требованием/ указание характеристик</w:t>
            </w:r>
          </w:p>
        </w:tc>
        <w:tc>
          <w:tcPr>
            <w:tcW w:w="1818" w:type="dxa"/>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Предоставление подтверждающего документа или иной способ подтверждения</w:t>
            </w:r>
          </w:p>
        </w:tc>
        <w:tc>
          <w:tcPr>
            <w:tcW w:w="1813" w:type="dxa"/>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r>
      <w:tr>
        <w:trPr>
          <w:trHeight w:val="20" w:hRule="atLeast"/>
        </w:trPr>
        <w:tc>
          <w:tcPr>
            <w:tcW w:w="843" w:type="dxa"/>
            <w:tcBorders/>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bookmarkStart w:id="31" w:name="_Toc53499667"/>
            <w:r>
              <w:rPr>
                <w:rFonts w:eastAsia="Times New Roman" w:cs="Times New Roman"/>
                <w:b/>
                <w:bCs/>
                <w:kern w:val="0"/>
                <w:sz w:val="20"/>
                <w:szCs w:val="20"/>
                <w:lang w:eastAsia="ru-RU" w:bidi="ar-SA"/>
              </w:rPr>
              <w:t>1</w:t>
            </w:r>
            <w:bookmarkEnd w:id="31"/>
          </w:p>
        </w:tc>
        <w:tc>
          <w:tcPr>
            <w:tcW w:w="322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2</w:t>
            </w:r>
          </w:p>
        </w:tc>
        <w:tc>
          <w:tcPr>
            <w:tcW w:w="4713"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3</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4</w:t>
            </w:r>
          </w:p>
        </w:tc>
        <w:tc>
          <w:tcPr>
            <w:tcW w:w="1818"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5</w:t>
            </w:r>
          </w:p>
        </w:tc>
        <w:tc>
          <w:tcPr>
            <w:tcW w:w="1813"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6</w:t>
            </w:r>
          </w:p>
        </w:tc>
      </w:tr>
      <w:tr>
        <w:trPr>
          <w:trHeight w:val="20" w:hRule="atLeast"/>
        </w:trPr>
        <w:tc>
          <w:tcPr>
            <w:tcW w:w="843" w:type="dxa"/>
            <w:tcBorders/>
          </w:tcPr>
          <w:p>
            <w:pPr>
              <w:pStyle w:val="ListParagraph"/>
              <w:widowControl w:val="false"/>
              <w:numPr>
                <w:ilvl w:val="0"/>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Требования к оказанию услуг</w:t>
            </w:r>
          </w:p>
        </w:tc>
        <w:tc>
          <w:tcPr>
            <w:tcW w:w="2331"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Общие требования к оказанию услуг</w:t>
            </w:r>
          </w:p>
        </w:tc>
        <w:tc>
          <w:tcPr>
            <w:tcW w:w="2331"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shd w:color="auto" w:fill="auto" w:val="clea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Соблюдение при оказании услуг норм и правил нормативно-технических документов</w:t>
            </w:r>
          </w:p>
        </w:tc>
        <w:tc>
          <w:tcPr>
            <w:tcW w:w="4713" w:type="dxa"/>
            <w:tcBorders/>
            <w:shd w:color="auto" w:fill="auto" w:val="clea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В соответствии с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w:t>
            </w:r>
            <w:r>
              <w:rPr>
                <w:rFonts w:eastAsia="Times New Roman" w:cs="Times New Roman"/>
                <w:kern w:val="0"/>
                <w:sz w:val="20"/>
                <w:szCs w:val="20"/>
                <w:shd w:fill="auto" w:val="clear"/>
                <w:lang w:val="ru-RU" w:eastAsia="ru-RU" w:bidi="ar-SA"/>
              </w:rPr>
              <w:t xml:space="preserve"> (Приложение 2 настоящим ТТ)</w:t>
            </w:r>
          </w:p>
          <w:p>
            <w:pPr>
              <w:pStyle w:val="Normal"/>
              <w:widowControl w:val="false"/>
              <w:tabs>
                <w:tab w:val="clear" w:pos="708"/>
                <w:tab w:val="left" w:pos="426" w:leader="none"/>
              </w:tabs>
              <w:suppressAutoHyphens w:val="true"/>
              <w:spacing w:before="0" w:after="0"/>
              <w:jc w:val="both"/>
              <w:rPr>
                <w:b/>
                <w:sz w:val="20"/>
                <w:szCs w:val="20"/>
              </w:rPr>
            </w:pPr>
            <w:r>
              <w:rPr>
                <w:sz w:val="20"/>
                <w:szCs w:val="20"/>
                <w:lang w:val="ru-RU"/>
              </w:rPr>
              <w:t xml:space="preserve">Организационно-технические мероприятия по допуску персонала исполнителя осуществляется в соответствии с Методикой допуска персонала подрядных организаций на объектах ПАО «РусГидро» (утв. приказом ПАО «РусГидро» от 28.04.2023 № 300) </w:t>
            </w:r>
            <w:r>
              <w:rPr>
                <w:sz w:val="20"/>
                <w:szCs w:val="20"/>
                <w:shd w:fill="auto" w:val="clear"/>
                <w:lang w:val="ru-RU"/>
              </w:rPr>
              <w:t>(Приложение № 1 к настоящим ТТ).</w:t>
            </w:r>
          </w:p>
        </w:tc>
        <w:tc>
          <w:tcPr>
            <w:tcW w:w="2331"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shd w:color="auto" w:fill="auto" w:val="clear"/>
            <w:vAlign w:val="center"/>
          </w:tcPr>
          <w:p>
            <w:pPr>
              <w:pStyle w:val="Style31"/>
              <w:keepNext w:val="false"/>
              <w:widowControl w:val="false"/>
              <w:numPr>
                <w:ilvl w:val="0"/>
                <w:numId w:val="0"/>
              </w:numPr>
              <w:suppressAutoHyphens w:val="true"/>
              <w:spacing w:before="0" w:after="0"/>
              <w:ind w:left="0" w:hanging="0"/>
              <w:jc w:val="left"/>
              <w:outlineLvl w:val="2"/>
              <w:rPr>
                <w:rFonts w:ascii="Times New Roman" w:hAnsi="Times New Roman" w:cs="Times New Roman"/>
                <w:kern w:val="0"/>
                <w:lang w:bidi="ar-SA"/>
              </w:rPr>
            </w:pPr>
            <w:r>
              <w:rPr>
                <w:rFonts w:eastAsia="Times New Roman" w:cs="Times New Roman"/>
                <w:kern w:val="0"/>
                <w:sz w:val="20"/>
                <w:szCs w:val="20"/>
                <w:lang w:val="ru-RU" w:eastAsia="ru-RU" w:bidi="ar-SA"/>
              </w:rPr>
              <w:t>-</w:t>
            </w:r>
          </w:p>
        </w:tc>
        <w:tc>
          <w:tcPr>
            <w:tcW w:w="1813" w:type="dxa"/>
            <w:tcBorders/>
            <w:shd w:color="auto" w:fill="auto" w:val="clear"/>
          </w:tcPr>
          <w:p>
            <w:pPr>
              <w:pStyle w:val="Normal"/>
              <w:widowControl w:val="false"/>
              <w:suppressAutoHyphens w:val="true"/>
              <w:spacing w:before="0" w:after="0"/>
              <w:jc w:val="left"/>
              <w:rPr>
                <w:sz w:val="20"/>
                <w:szCs w:val="20"/>
              </w:rPr>
            </w:pPr>
            <w:r>
              <w:rPr>
                <w:sz w:val="20"/>
                <w:szCs w:val="20"/>
              </w:rPr>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shd w:color="auto" w:fill="auto" w:val="clear"/>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способам оказания услуг</w:t>
            </w:r>
          </w:p>
        </w:tc>
        <w:tc>
          <w:tcPr>
            <w:tcW w:w="2331" w:type="dxa"/>
            <w:tcBorders/>
            <w:shd w:color="auto" w:fill="auto" w:val="clear"/>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shd w:color="auto" w:fill="auto" w:val="clear"/>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shd w:color="auto" w:fill="auto" w:val="clea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shd w:color="auto" w:fill="auto" w:val="clear"/>
            <w:vAlign w:val="center"/>
          </w:tcPr>
          <w:p>
            <w:pPr>
              <w:pStyle w:val="Normal"/>
              <w:widowControl w:val="false"/>
              <w:suppressAutoHyphens w:val="true"/>
              <w:spacing w:before="0" w:after="0"/>
              <w:jc w:val="left"/>
              <w:rPr>
                <w:lang w:val="ru-RU"/>
              </w:rPr>
            </w:pPr>
            <w:r>
              <w:rPr>
                <w:rFonts w:eastAsia="Times New Roman" w:cs="Times New Roman"/>
                <w:kern w:val="0"/>
                <w:sz w:val="20"/>
                <w:szCs w:val="20"/>
                <w:lang w:val="ru-RU" w:eastAsia="ru-RU" w:bidi="ar-SA"/>
              </w:rPr>
              <w:t>Требование к способам оказания услуг по уборке снега и наледи с крыш</w:t>
            </w:r>
          </w:p>
        </w:tc>
        <w:tc>
          <w:tcPr>
            <w:tcW w:w="4713" w:type="dxa"/>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Согласно раздела 1.7 Настоящих технических требований</w:t>
            </w:r>
          </w:p>
        </w:tc>
        <w:tc>
          <w:tcPr>
            <w:tcW w:w="2331"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shd w:color="auto" w:fill="auto" w:val="clear"/>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w:t>
            </w:r>
          </w:p>
        </w:tc>
        <w:tc>
          <w:tcPr>
            <w:tcW w:w="1813" w:type="dxa"/>
            <w:tcBorders/>
            <w:shd w:color="auto" w:fill="auto" w:val="clear"/>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w:t>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tcPr>
          <w:p>
            <w:pPr>
              <w:pStyle w:val="Normal"/>
              <w:widowControl w:val="false"/>
              <w:suppressAutoHyphens w:val="true"/>
              <w:spacing w:before="0" w:after="0"/>
              <w:jc w:val="both"/>
              <w:rPr>
                <w:lang w:val="ru-RU"/>
              </w:rPr>
            </w:pPr>
            <w:r>
              <w:rPr>
                <w:rFonts w:eastAsia="Times New Roman" w:cs="Times New Roman"/>
                <w:b/>
                <w:kern w:val="0"/>
                <w:sz w:val="20"/>
                <w:szCs w:val="20"/>
                <w:lang w:val="ru-RU" w:eastAsia="ru-RU" w:bidi="ar-SA"/>
              </w:rPr>
              <w:t>Требование к оборудованию и материалам</w:t>
            </w:r>
          </w:p>
        </w:tc>
        <w:tc>
          <w:tcPr>
            <w:tcW w:w="4713" w:type="dxa"/>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Наличие у Исполнителя материально-технических ресурсов (специальная техника, грузоподъемные механизмы, приборы, материалы, механизмы, приспособления, специальный инструмент и т.д.), используемых при оказании услуг и принадлежащих ему на праве собственности или ином законном основании.</w:t>
            </w:r>
          </w:p>
          <w:p>
            <w:pPr>
              <w:pStyle w:val="Normal"/>
              <w:widowControl w:val="false"/>
              <w:suppressAutoHyphens w:val="true"/>
              <w:spacing w:before="0" w:after="0"/>
              <w:jc w:val="left"/>
              <w:rPr>
                <w:lang w:val="ru-RU"/>
              </w:rPr>
            </w:pPr>
            <w:r>
              <w:rPr>
                <w:rFonts w:eastAsia="Times New Roman" w:cs="Times New Roman"/>
                <w:kern w:val="0"/>
                <w:sz w:val="20"/>
                <w:szCs w:val="20"/>
                <w:lang w:val="ru-RU" w:eastAsia="ru-RU" w:bidi="ar-SA"/>
              </w:rPr>
              <w:t>До начала оказания услуг в рамках исполнения договора после его заключения. Заказчик не предоставляет Исполнителю давальческие материалы.</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Normal"/>
              <w:widowControl w:val="false"/>
              <w:suppressAutoHyphens w:val="true"/>
              <w:spacing w:before="0" w:after="0"/>
              <w:jc w:val="left"/>
              <w:rPr>
                <w:lang w:val="ru-RU"/>
              </w:rPr>
            </w:pPr>
            <w:r>
              <w:rPr>
                <w:sz w:val="20"/>
                <w:lang w:val="ru-RU"/>
              </w:rPr>
            </w:r>
          </w:p>
        </w:tc>
        <w:tc>
          <w:tcPr>
            <w:tcW w:w="1813" w:type="dxa"/>
            <w:tcBorders/>
          </w:tcPr>
          <w:p>
            <w:pPr>
              <w:pStyle w:val="Normal"/>
              <w:widowControl w:val="false"/>
              <w:suppressAutoHyphens w:val="true"/>
              <w:spacing w:before="0" w:after="0"/>
              <w:jc w:val="left"/>
              <w:rPr>
                <w:b/>
                <w:sz w:val="20"/>
                <w:szCs w:val="20"/>
                <w:lang w:val="ru-RU"/>
              </w:rPr>
            </w:pPr>
            <w:r>
              <w:rPr>
                <w:b/>
                <w:sz w:val="20"/>
                <w:szCs w:val="20"/>
                <w:lang w:val="ru-RU"/>
              </w:rPr>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Требования к персоналу исполнителя</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Квалификация персонала исполнителя, привлекаемого к оказанию услуг</w:t>
            </w:r>
          </w:p>
        </w:tc>
        <w:tc>
          <w:tcPr>
            <w:tcW w:w="4713" w:type="dxa"/>
            <w:tcBorders/>
          </w:tcPr>
          <w:p>
            <w:pPr>
              <w:pStyle w:val="Normal"/>
              <w:widowControl w:val="false"/>
              <w:suppressAutoHyphens w:val="true"/>
              <w:spacing w:before="0" w:after="0"/>
              <w:jc w:val="both"/>
              <w:rPr>
                <w:sz w:val="20"/>
                <w:szCs w:val="20"/>
                <w:lang w:val="ru-RU"/>
              </w:rPr>
            </w:pPr>
            <w:r>
              <w:rPr>
                <w:rFonts w:eastAsia="Times New Roman" w:cs="Times New Roman"/>
                <w:kern w:val="0"/>
                <w:sz w:val="20"/>
                <w:szCs w:val="20"/>
                <w:lang w:val="ru-RU" w:eastAsia="ru-RU" w:bidi="ar-SA"/>
              </w:rPr>
              <w:t>Согласно Раздела 1.6 Настоящих Технических Требований.</w:t>
            </w:r>
          </w:p>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Оказание услуг осуществляется персоналом Исполнителя.</w:t>
            </w:r>
          </w:p>
          <w:p>
            <w:pPr>
              <w:pStyle w:val="Normal"/>
              <w:widowControl w:val="false"/>
              <w:suppressAutoHyphens w:val="true"/>
              <w:spacing w:before="0" w:after="0"/>
              <w:jc w:val="both"/>
              <w:rPr>
                <w:lang w:val="ru-RU"/>
              </w:rPr>
            </w:pPr>
            <w:r>
              <w:rPr>
                <w:sz w:val="20"/>
                <w:lang w:val="ru-RU"/>
              </w:rPr>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Normal"/>
              <w:widowControl w:val="false"/>
              <w:suppressAutoHyphens w:val="true"/>
              <w:spacing w:before="0" w:after="0"/>
              <w:jc w:val="left"/>
              <w:rPr>
                <w:b/>
                <w:sz w:val="20"/>
                <w:szCs w:val="20"/>
              </w:rPr>
            </w:pPr>
            <w:r>
              <w:rPr>
                <w:b/>
                <w:sz w:val="20"/>
                <w:szCs w:val="20"/>
              </w:rPr>
            </w:r>
          </w:p>
        </w:tc>
        <w:tc>
          <w:tcPr>
            <w:tcW w:w="1813" w:type="dxa"/>
            <w:tcBorders/>
          </w:tcPr>
          <w:p>
            <w:pPr>
              <w:pStyle w:val="Normal"/>
              <w:widowControl w:val="false"/>
              <w:suppressAutoHyphens w:val="true"/>
              <w:spacing w:before="0" w:after="0"/>
              <w:jc w:val="left"/>
              <w:rPr>
                <w:b/>
                <w:sz w:val="20"/>
                <w:szCs w:val="20"/>
              </w:rPr>
            </w:pPr>
            <w:r>
              <w:rPr>
                <w:b/>
                <w:sz w:val="20"/>
                <w:szCs w:val="20"/>
              </w:rPr>
            </w:r>
          </w:p>
        </w:tc>
      </w:tr>
      <w:tr>
        <w:trPr>
          <w:trHeight w:val="20" w:hRule="atLeast"/>
        </w:trPr>
        <w:tc>
          <w:tcPr>
            <w:tcW w:w="843" w:type="dxa"/>
            <w:tcBorders/>
          </w:tcPr>
          <w:p>
            <w:pPr>
              <w:pStyle w:val="ListParagraph"/>
              <w:widowControl w:val="false"/>
              <w:numPr>
                <w:ilvl w:val="0"/>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b/>
                <w:bCs/>
                <w:kern w:val="0"/>
                <w:sz w:val="20"/>
                <w:szCs w:val="20"/>
                <w:lang w:eastAsia="ru-RU" w:bidi="ar-SA"/>
              </w:rPr>
              <w:t>Требования к результатам у</w:t>
            </w:r>
            <w:r>
              <w:rPr>
                <w:rFonts w:eastAsia="Times New Roman" w:cs="Times New Roman"/>
                <w:b/>
                <w:kern w:val="0"/>
                <w:sz w:val="20"/>
                <w:szCs w:val="20"/>
                <w:lang w:eastAsia="ru-RU" w:bidi="ar-SA"/>
              </w:rPr>
              <w:t>слуг</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lang w:val="ru-RU"/>
              </w:rPr>
            </w:pPr>
            <w:r>
              <w:rPr>
                <w:rFonts w:eastAsia="Times New Roman" w:cs="Times New Roman"/>
                <w:b/>
                <w:bCs/>
                <w:kern w:val="0"/>
                <w:sz w:val="20"/>
                <w:szCs w:val="20"/>
                <w:lang w:val="ru-RU" w:eastAsia="ru-RU" w:bidi="ar-SA"/>
              </w:rPr>
              <w:t>Общие требования к результатам услуг</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Результат оказания услуг</w:t>
            </w:r>
          </w:p>
        </w:tc>
        <w:tc>
          <w:tcPr>
            <w:tcW w:w="4713" w:type="dxa"/>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Уборка снега, скол сосулек с крыш зданий. Обеспечение надлежащего содержания территории в зимний период, обеспечения беспрепятственного прохода людей и проезда транспорта.</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Style31"/>
              <w:keepNext w:val="false"/>
              <w:widowControl w:val="false"/>
              <w:numPr>
                <w:ilvl w:val="0"/>
                <w:numId w:val="0"/>
              </w:numPr>
              <w:suppressAutoHyphens w:val="true"/>
              <w:spacing w:before="0" w:after="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1813" w:type="dxa"/>
            <w:tcBorders/>
          </w:tcPr>
          <w:p>
            <w:pPr>
              <w:pStyle w:val="Normal"/>
              <w:widowControl w:val="false"/>
              <w:suppressAutoHyphens w:val="true"/>
              <w:spacing w:before="0" w:after="0"/>
              <w:jc w:val="left"/>
              <w:rPr>
                <w:b/>
                <w:sz w:val="20"/>
                <w:szCs w:val="20"/>
              </w:rPr>
            </w:pPr>
            <w:r>
              <w:rPr>
                <w:b/>
                <w:sz w:val="20"/>
                <w:szCs w:val="20"/>
              </w:rPr>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lang w:val="ru-RU"/>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vAlign w:val="center"/>
          </w:tcPr>
          <w:p>
            <w:pPr>
              <w:pStyle w:val="Normal"/>
              <w:widowControl w:val="false"/>
              <w:suppressAutoHyphens w:val="true"/>
              <w:spacing w:before="0" w:after="0"/>
              <w:jc w:val="left"/>
              <w:rPr>
                <w:lang w:val="ru-RU"/>
              </w:rPr>
            </w:pPr>
            <w:r>
              <w:rPr>
                <w:rFonts w:eastAsia="Times New Roman" w:cs="Times New Roman"/>
                <w:kern w:val="0"/>
                <w:sz w:val="20"/>
                <w:szCs w:val="20"/>
                <w:lang w:val="ru-RU" w:eastAsia="ru-RU" w:bidi="ar-SA"/>
              </w:rPr>
              <w:t>Мероприятия по приемке оказания услуг</w:t>
            </w:r>
          </w:p>
        </w:tc>
        <w:tc>
          <w:tcPr>
            <w:tcW w:w="4713" w:type="dxa"/>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По результатам оказанных услуг ответственный сотрудник проводит визуальный осмотр. При наличии замечаний оформляется «Ведомость замечаний» и направляется исполнителю</w:t>
            </w:r>
            <w:r>
              <w:rPr>
                <w:rFonts w:eastAsia="Times New Roman" w:cs="Times New Roman"/>
                <w:b/>
                <w:kern w:val="0"/>
                <w:sz w:val="20"/>
                <w:szCs w:val="20"/>
                <w:lang w:val="ru-RU" w:eastAsia="ru-RU" w:bidi="ar-SA"/>
              </w:rPr>
              <w:t>.</w:t>
            </w:r>
          </w:p>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После надлежащего оказания услуг, сторона</w:t>
            </w:r>
            <w:bookmarkStart w:id="32" w:name="_GoBack_Копия_1"/>
            <w:bookmarkEnd w:id="32"/>
            <w:r>
              <w:rPr>
                <w:rFonts w:eastAsia="Times New Roman" w:cs="Times New Roman"/>
                <w:kern w:val="0"/>
                <w:sz w:val="20"/>
                <w:szCs w:val="20"/>
                <w:lang w:val="ru-RU" w:eastAsia="ru-RU" w:bidi="ar-SA"/>
              </w:rPr>
              <w:t>ми подписывает Акт об оказании услуг.</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Normal"/>
              <w:widowControl w:val="false"/>
              <w:suppressAutoHyphens w:val="true"/>
              <w:spacing w:before="0" w:after="0"/>
              <w:jc w:val="left"/>
              <w:rPr>
                <w:b/>
                <w:sz w:val="20"/>
                <w:szCs w:val="20"/>
              </w:rPr>
            </w:pPr>
            <w:r>
              <w:rPr>
                <w:b/>
                <w:sz w:val="20"/>
                <w:szCs w:val="20"/>
              </w:rPr>
            </w:r>
          </w:p>
        </w:tc>
        <w:tc>
          <w:tcPr>
            <w:tcW w:w="1813" w:type="dxa"/>
            <w:tcBorders/>
          </w:tcPr>
          <w:p>
            <w:pPr>
              <w:pStyle w:val="Normal"/>
              <w:widowControl w:val="false"/>
              <w:suppressAutoHyphens w:val="true"/>
              <w:spacing w:before="0" w:after="0"/>
              <w:jc w:val="left"/>
              <w:rPr>
                <w:b/>
                <w:sz w:val="20"/>
                <w:szCs w:val="20"/>
              </w:rPr>
            </w:pPr>
            <w:r>
              <w:rPr>
                <w:b/>
                <w:sz w:val="20"/>
                <w:szCs w:val="20"/>
              </w:rPr>
            </w:r>
          </w:p>
        </w:tc>
      </w:tr>
      <w:tr>
        <w:trPr>
          <w:trHeight w:val="20" w:hRule="atLeast"/>
        </w:trPr>
        <w:tc>
          <w:tcPr>
            <w:tcW w:w="843" w:type="dxa"/>
            <w:tcBorders/>
          </w:tcPr>
          <w:p>
            <w:pPr>
              <w:pStyle w:val="ListParagraph"/>
              <w:widowControl w:val="false"/>
              <w:numPr>
                <w:ilvl w:val="1"/>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документации, описывающей результат оказания услуг</w:t>
            </w:r>
          </w:p>
        </w:tc>
        <w:tc>
          <w:tcPr>
            <w:tcW w:w="2331"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3226" w:type="dxa"/>
            <w:tcBorders/>
          </w:tcPr>
          <w:p>
            <w:pPr>
              <w:pStyle w:val="Normal"/>
              <w:widowControl w:val="false"/>
              <w:suppressAutoHyphens w:val="true"/>
              <w:spacing w:before="0" w:after="0"/>
              <w:jc w:val="left"/>
              <w:rPr>
                <w:lang w:val="ru-RU"/>
              </w:rPr>
            </w:pPr>
            <w:r>
              <w:rPr>
                <w:rFonts w:eastAsia="Times New Roman" w:cs="Times New Roman"/>
                <w:kern w:val="0"/>
                <w:sz w:val="20"/>
                <w:szCs w:val="20"/>
                <w:lang w:val="ru-RU" w:eastAsia="ru-RU" w:bidi="ar-SA"/>
              </w:rPr>
              <w:t>Документы, передаваемые Заказчику по результатам оказанных услуг</w:t>
            </w:r>
          </w:p>
        </w:tc>
        <w:tc>
          <w:tcPr>
            <w:tcW w:w="4713" w:type="dxa"/>
            <w:tcBorders/>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По окончании оказания Услуг / Услуг по Заявке / (в определенный период) Исполнитель в течение 2 (двух) рабочих дней предоставляет Заказчику подписанные со своей стороны в 2 (двух) экземплярах Акты об оказании Услуг с приложением Отчета об оказании Услуг и иных отчетных документов.</w:t>
            </w:r>
          </w:p>
          <w:p>
            <w:pPr>
              <w:pStyle w:val="ListParagraph"/>
              <w:widowControl w:val="false"/>
              <w:suppressAutoHyphens w:val="true"/>
              <w:spacing w:before="0" w:after="0"/>
              <w:ind w:left="0" w:hanging="0"/>
              <w:contextualSpacing w:val="false"/>
              <w:jc w:val="both"/>
              <w:rPr>
                <w:rFonts w:ascii="Times New Roman" w:hAnsi="Times New Roman" w:eastAsia="Times New Roman" w:cs="Times New Roman"/>
                <w:kern w:val="0"/>
                <w:lang w:eastAsia="ru-RU" w:bidi="ar-SA"/>
              </w:rPr>
            </w:pPr>
            <w:r>
              <w:rPr>
                <w:rFonts w:eastAsia="Times New Roman" w:cs="Times New Roman"/>
                <w:iCs/>
                <w:kern w:val="0"/>
                <w:sz w:val="20"/>
                <w:szCs w:val="20"/>
                <w:lang w:eastAsia="ru-RU" w:bidi="ar-SA"/>
              </w:rPr>
              <w:t>Услуги, оказанные Исполнителем, считаются принятыми Заказчиком с момента подписания актов оказания услуг.</w:t>
            </w:r>
          </w:p>
          <w:p>
            <w:pPr>
              <w:pStyle w:val="Normal"/>
              <w:widowControl w:val="false"/>
              <w:suppressAutoHyphens w:val="true"/>
              <w:spacing w:before="0" w:after="0"/>
              <w:jc w:val="both"/>
              <w:rPr>
                <w:lang w:val="ru-RU"/>
              </w:rPr>
            </w:pPr>
            <w:r>
              <w:rPr>
                <w:rFonts w:eastAsia="Times New Roman" w:cs="Times New Roman"/>
                <w:iCs/>
                <w:kern w:val="0"/>
                <w:sz w:val="20"/>
                <w:szCs w:val="20"/>
                <w:lang w:val="ru-RU" w:eastAsia="ru-RU" w:bidi="ar-SA"/>
              </w:rPr>
              <w:t>Исполнитель оформляет отчетную и исполнительную документации, по форме, указанной в Приложениях к договору.</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Style31"/>
              <w:keepNext w:val="false"/>
              <w:widowControl w:val="false"/>
              <w:numPr>
                <w:ilvl w:val="0"/>
                <w:numId w:val="0"/>
              </w:numPr>
              <w:suppressAutoHyphens w:val="true"/>
              <w:spacing w:before="0" w:after="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c>
          <w:tcPr>
            <w:tcW w:w="1813" w:type="dxa"/>
            <w:tcBorders/>
          </w:tcPr>
          <w:p>
            <w:pPr>
              <w:pStyle w:val="Style31"/>
              <w:keepNext w:val="false"/>
              <w:widowControl w:val="false"/>
              <w:numPr>
                <w:ilvl w:val="0"/>
                <w:numId w:val="0"/>
              </w:numPr>
              <w:suppressAutoHyphens w:val="true"/>
              <w:spacing w:before="0" w:after="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rHeight w:val="20" w:hRule="atLeast"/>
        </w:trPr>
        <w:tc>
          <w:tcPr>
            <w:tcW w:w="843" w:type="dxa"/>
            <w:tcBorders/>
          </w:tcPr>
          <w:p>
            <w:pPr>
              <w:pStyle w:val="ListParagraph"/>
              <w:widowControl w:val="false"/>
              <w:numPr>
                <w:ilvl w:val="0"/>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vAlign w:val="center"/>
          </w:tcPr>
          <w:p>
            <w:pPr>
              <w:pStyle w:val="Normal"/>
              <w:widowControl w:val="false"/>
              <w:suppressAutoHyphens w:val="true"/>
              <w:spacing w:before="0" w:after="0"/>
              <w:jc w:val="both"/>
              <w:rPr>
                <w:lang w:val="ru-RU"/>
              </w:rPr>
            </w:pPr>
            <w:r>
              <w:rPr>
                <w:rFonts w:eastAsia="Times New Roman" w:cs="Times New Roman"/>
                <w:b/>
                <w:kern w:val="0"/>
                <w:sz w:val="20"/>
                <w:szCs w:val="20"/>
                <w:lang w:val="ru-RU" w:eastAsia="ru-RU" w:bidi="ar-SA"/>
              </w:rPr>
              <w:t>Требования к ответственности и гарантиям исполнителя</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w:t>
            </w:r>
          </w:p>
        </w:tc>
        <w:tc>
          <w:tcPr>
            <w:tcW w:w="1818" w:type="dxa"/>
            <w:tcBorders/>
            <w:vAlign w:val="center"/>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c>
          <w:tcPr>
            <w:tcW w:w="1813" w:type="dxa"/>
            <w:tcBorders/>
          </w:tcPr>
          <w:p>
            <w:pPr>
              <w:pStyle w:val="Normal"/>
              <w:keepNext w:val="true"/>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b/>
                <w:kern w:val="0"/>
                <w:sz w:val="20"/>
                <w:szCs w:val="20"/>
                <w:lang w:eastAsia="ru-RU" w:bidi="ar-SA"/>
              </w:rPr>
              <w:t>-//-</w:t>
            </w:r>
          </w:p>
        </w:tc>
      </w:tr>
      <w:tr>
        <w:trPr>
          <w:trHeight w:val="20" w:hRule="atLeast"/>
        </w:trPr>
        <w:tc>
          <w:tcPr>
            <w:tcW w:w="843" w:type="dxa"/>
            <w:tcBorders/>
          </w:tcPr>
          <w:p>
            <w:pPr>
              <w:pStyle w:val="ListParagraph"/>
              <w:widowControl w:val="false"/>
              <w:numPr>
                <w:ilvl w:val="2"/>
                <w:numId w:val="7"/>
              </w:numPr>
              <w:suppressAutoHyphens w:val="true"/>
              <w:spacing w:before="0" w:after="0"/>
              <w:contextualSpacing w:val="false"/>
              <w:jc w:val="center"/>
              <w:rPr>
                <w:b/>
                <w:bCs/>
                <w:sz w:val="20"/>
                <w:szCs w:val="20"/>
              </w:rPr>
            </w:pPr>
            <w:r>
              <w:rPr>
                <w:b/>
                <w:bCs/>
                <w:sz w:val="20"/>
                <w:szCs w:val="20"/>
              </w:rPr>
            </w:r>
          </w:p>
        </w:tc>
        <w:tc>
          <w:tcPr>
            <w:tcW w:w="7939" w:type="dxa"/>
            <w:gridSpan w:val="2"/>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x-none" w:bidi="ar-SA"/>
              </w:rPr>
              <w:t>При обнаружении дефектов кровли в акте производится подробное описание обнаруженных дефектов. При отказе Исполнителя от подписания акта Заказчик имеет право составить такой акт самостоятельно.</w:t>
            </w:r>
          </w:p>
          <w:p>
            <w:pPr>
              <w:pStyle w:val="ListParagraph"/>
              <w:widowControl w:val="false"/>
              <w:suppressAutoHyphens w:val="true"/>
              <w:spacing w:before="0" w:after="0"/>
              <w:ind w:left="0" w:hanging="0"/>
              <w:contextualSpacing w:val="false"/>
              <w:jc w:val="both"/>
              <w:rPr>
                <w:rFonts w:ascii="Times New Roman" w:hAnsi="Times New Roman" w:eastAsia="Times New Roman" w:cs="Times New Roman"/>
                <w:kern w:val="0"/>
                <w:lang w:bidi="ar-SA"/>
              </w:rPr>
            </w:pPr>
            <w:r>
              <w:rPr>
                <w:rFonts w:eastAsia="Times New Roman" w:cs="Times New Roman"/>
                <w:kern w:val="0"/>
                <w:sz w:val="20"/>
                <w:szCs w:val="20"/>
                <w:lang w:eastAsia="x-none" w:bidi="ar-SA"/>
              </w:rPr>
              <w:t>В случае повреждения кровли Исполнитель в течение 20 календарных дней после составления акта, за свой счет производит устранение имеющихся дефектов кровельного покрытия.</w:t>
            </w:r>
          </w:p>
          <w:p>
            <w:pPr>
              <w:pStyle w:val="ListParagraph"/>
              <w:widowControl w:val="false"/>
              <w:suppressAutoHyphens w:val="true"/>
              <w:spacing w:before="0" w:after="0"/>
              <w:ind w:left="0" w:hanging="0"/>
              <w:contextualSpacing w:val="false"/>
              <w:jc w:val="both"/>
              <w:rPr>
                <w:rFonts w:ascii="Times New Roman" w:hAnsi="Times New Roman" w:eastAsia="Times New Roman" w:cs="Times New Roman"/>
                <w:kern w:val="0"/>
                <w:lang w:bidi="ar-SA"/>
              </w:rPr>
            </w:pPr>
            <w:r>
              <w:rPr>
                <w:rFonts w:eastAsia="Times New Roman" w:cs="Times New Roman"/>
                <w:kern w:val="0"/>
                <w:sz w:val="20"/>
                <w:szCs w:val="20"/>
                <w:lang w:eastAsia="x-none" w:bidi="ar-SA"/>
              </w:rPr>
              <w:t>В случае если объекту работ был причинен ущерб либо порча, Исполнитель обязан по выбору Заказчика самостоятельно за свой счет восстановить поврежденный объект, произведя необходимые работы, либо возместить Заказчику расходы, связанные с восстановлением объекта работ силами третьих лиц, либо компенсировать понесенные Заказчиком убытки (реальный ущерб в размере страховой оценки объекта и упущенная выгода). В случае если Объект был уничтожен, утрачен (похищен или утерян) или же причиненные ему повреждения исключают возможность восстановления, Исполнитель обязан возместить Заказчику убытки, вызванные случайной гибелью или случайным повреждением Объекта, произошедшим до момента приемки Заказчиком работ, предусмотренных настоящим договором.</w:t>
            </w:r>
          </w:p>
          <w:p>
            <w:pPr>
              <w:pStyle w:val="ListParagraph"/>
              <w:widowControl w:val="false"/>
              <w:suppressAutoHyphens w:val="true"/>
              <w:spacing w:before="0" w:after="0"/>
              <w:ind w:left="0" w:hanging="0"/>
              <w:contextualSpacing w:val="false"/>
              <w:jc w:val="both"/>
              <w:rPr>
                <w:rFonts w:ascii="Times New Roman" w:hAnsi="Times New Roman" w:eastAsia="Times New Roman" w:cs="Times New Roman"/>
                <w:kern w:val="0"/>
                <w:lang w:bidi="ar-SA"/>
              </w:rPr>
            </w:pPr>
            <w:r>
              <w:rPr>
                <w:rFonts w:eastAsia="Times New Roman" w:cs="Times New Roman"/>
                <w:kern w:val="0"/>
                <w:sz w:val="20"/>
                <w:szCs w:val="20"/>
                <w:lang w:eastAsia="x-none" w:bidi="ar-SA"/>
              </w:rPr>
              <w:t>Ответственность за организационные мероприятия по  сбору, вывозу  утилизации снега и льда после оказания услуг несет Исполнитель в соответствии с действующим законодательством.</w:t>
            </w:r>
          </w:p>
        </w:tc>
        <w:tc>
          <w:tcPr>
            <w:tcW w:w="233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eastAsia="ru-RU" w:bidi="ar-SA"/>
              </w:rPr>
            </w:pPr>
            <w:r>
              <w:rPr>
                <w:rFonts w:eastAsia="Times New Roman" w:cs="Times New Roman"/>
                <w:kern w:val="0"/>
                <w:sz w:val="20"/>
                <w:szCs w:val="20"/>
                <w:lang w:eastAsia="ru-RU" w:bidi="ar-SA"/>
              </w:rPr>
              <w:t>Согласие с требованием</w:t>
            </w:r>
          </w:p>
        </w:tc>
        <w:tc>
          <w:tcPr>
            <w:tcW w:w="1818" w:type="dxa"/>
            <w:tcBorders/>
          </w:tcPr>
          <w:p>
            <w:pPr>
              <w:pStyle w:val="Normal"/>
              <w:widowControl w:val="false"/>
              <w:suppressAutoHyphens w:val="true"/>
              <w:spacing w:before="0" w:after="0"/>
              <w:jc w:val="left"/>
              <w:rPr>
                <w:b/>
                <w:bCs/>
                <w:sz w:val="20"/>
                <w:szCs w:val="20"/>
              </w:rPr>
            </w:pPr>
            <w:r>
              <w:rPr>
                <w:b/>
                <w:bCs/>
                <w:sz w:val="20"/>
                <w:szCs w:val="20"/>
              </w:rPr>
            </w:r>
          </w:p>
        </w:tc>
        <w:tc>
          <w:tcPr>
            <w:tcW w:w="1813" w:type="dxa"/>
            <w:tcBorders/>
          </w:tcPr>
          <w:p>
            <w:pPr>
              <w:pStyle w:val="Style31"/>
              <w:keepNext w:val="false"/>
              <w:widowControl w:val="false"/>
              <w:numPr>
                <w:ilvl w:val="0"/>
                <w:numId w:val="0"/>
              </w:numPr>
              <w:suppressAutoHyphens w:val="true"/>
              <w:spacing w:before="0" w:after="0"/>
              <w:ind w:left="0" w:hanging="0"/>
              <w:jc w:val="left"/>
              <w:outlineLvl w:val="2"/>
              <w:rPr>
                <w:rFonts w:eastAsia="Times New Roman"/>
                <w:b w:val="false"/>
                <w:bCs/>
                <w:sz w:val="20"/>
                <w:szCs w:val="20"/>
                <w:lang w:val="ru-RU" w:eastAsia="ru-RU"/>
              </w:rPr>
            </w:pPr>
            <w:r>
              <w:rPr>
                <w:rFonts w:eastAsia="Times New Roman" w:cs="Times New Roman"/>
                <w:b w:val="false"/>
                <w:bCs/>
                <w:kern w:val="0"/>
                <w:sz w:val="20"/>
                <w:szCs w:val="20"/>
                <w:lang w:val="ru-RU" w:eastAsia="ru-RU" w:bidi="ar-SA"/>
              </w:rPr>
            </w:r>
          </w:p>
        </w:tc>
      </w:tr>
      <w:tr>
        <w:trPr>
          <w:trHeight w:val="1551" w:hRule="atLeast"/>
        </w:trPr>
        <w:tc>
          <w:tcPr>
            <w:tcW w:w="843" w:type="dxa"/>
            <w:tcBorders>
              <w:top w:val="nil"/>
            </w:tcBorders>
          </w:tcPr>
          <w:p>
            <w:pPr>
              <w:pStyle w:val="ListParagraph"/>
              <w:widowControl w:val="false"/>
              <w:numPr>
                <w:ilvl w:val="0"/>
                <w:numId w:val="7"/>
              </w:numPr>
              <w:suppressAutoHyphens w:val="true"/>
              <w:spacing w:before="0" w:after="0"/>
              <w:contextualSpacing w:val="false"/>
              <w:jc w:val="center"/>
              <w:rPr>
                <w:b/>
                <w:bCs/>
                <w:sz w:val="20"/>
                <w:szCs w:val="20"/>
              </w:rPr>
            </w:pPr>
            <w:r>
              <w:rPr>
                <w:b/>
                <w:bCs/>
                <w:sz w:val="20"/>
                <w:szCs w:val="20"/>
              </w:rPr>
            </w:r>
          </w:p>
        </w:tc>
        <w:tc>
          <w:tcPr>
            <w:tcW w:w="3226" w:type="dxa"/>
            <w:tcBorders>
              <w:top w:val="nil"/>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4713" w:type="dxa"/>
            <w:tcBorders>
              <w:top w:val="nil"/>
            </w:tcBorders>
            <w:shd w:color="auto" w:fill="auto" w:val="clear"/>
            <w:vAlign w:val="center"/>
          </w:tcPr>
          <w:p>
            <w:pPr>
              <w:pStyle w:val="Normal"/>
              <w:widowControl w:val="false"/>
              <w:suppressAutoHyphens w:val="true"/>
              <w:spacing w:before="0" w:after="0"/>
              <w:jc w:val="both"/>
              <w:rPr>
                <w:rFonts w:ascii="Times New Roman" w:hAnsi="Times New Roman" w:eastAsia="Times New Roman" w:cs="Times New Roman"/>
                <w:kern w:val="0"/>
                <w:lang w:bidi="ar-SA"/>
              </w:rPr>
            </w:pPr>
            <w:r>
              <w:rPr>
                <w:rFonts w:eastAsia="Times New Roman" w:cs="Times New Roman"/>
                <w:kern w:val="0"/>
                <w:sz w:val="20"/>
                <w:szCs w:val="20"/>
                <w:lang w:eastAsia="x-none" w:bidi="ar-SA"/>
              </w:rPr>
              <w:t>В соответствии с п 1.6.3 настоящих ТТ</w:t>
            </w:r>
          </w:p>
          <w:p>
            <w:pPr>
              <w:pStyle w:val="Normal"/>
              <w:widowControl w:val="false"/>
              <w:suppressAutoHyphens w:val="true"/>
              <w:spacing w:before="0" w:after="0"/>
              <w:jc w:val="both"/>
              <w:rPr>
                <w:bCs/>
                <w:sz w:val="20"/>
                <w:szCs w:val="20"/>
              </w:rPr>
            </w:pPr>
            <w:r>
              <w:rPr>
                <w:bCs/>
                <w:sz w:val="20"/>
                <w:szCs w:val="20"/>
              </w:rPr>
            </w:r>
          </w:p>
        </w:tc>
        <w:tc>
          <w:tcPr>
            <w:tcW w:w="2331" w:type="dxa"/>
            <w:tcBorders>
              <w:top w:val="nil"/>
            </w:tcBorders>
            <w:vAlign w:val="center"/>
          </w:tcPr>
          <w:p>
            <w:pPr>
              <w:pStyle w:val="Normal"/>
              <w:widowControl w:val="false"/>
              <w:suppressAutoHyphens w:val="true"/>
              <w:spacing w:before="0" w:after="0"/>
              <w:jc w:val="center"/>
              <w:rPr>
                <w:sz w:val="20"/>
                <w:szCs w:val="20"/>
              </w:rPr>
            </w:pPr>
            <w:r>
              <w:rPr>
                <w:sz w:val="20"/>
                <w:szCs w:val="20"/>
              </w:rPr>
            </w:r>
          </w:p>
        </w:tc>
        <w:tc>
          <w:tcPr>
            <w:tcW w:w="1818" w:type="dxa"/>
            <w:tcBorders>
              <w:top w:val="nil"/>
            </w:tcBorders>
          </w:tcPr>
          <w:p>
            <w:pPr>
              <w:pStyle w:val="Style31"/>
              <w:keepNext w:val="false"/>
              <w:widowControl w:val="false"/>
              <w:numPr>
                <w:ilvl w:val="0"/>
                <w:numId w:val="0"/>
              </w:numPr>
              <w:suppressAutoHyphens w:val="true"/>
              <w:spacing w:before="0" w:after="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c>
          <w:tcPr>
            <w:tcW w:w="1813" w:type="dxa"/>
            <w:tcBorders>
              <w:top w:val="nil"/>
            </w:tcBorders>
          </w:tcPr>
          <w:p>
            <w:pPr>
              <w:pStyle w:val="Style31"/>
              <w:keepNext w:val="false"/>
              <w:widowControl w:val="false"/>
              <w:numPr>
                <w:ilvl w:val="0"/>
                <w:numId w:val="0"/>
              </w:numPr>
              <w:suppressAutoHyphens w:val="true"/>
              <w:spacing w:before="0" w:after="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bl>
    <w:p>
      <w:pPr>
        <w:pStyle w:val="Normal"/>
        <w:rPr>
          <w:lang w:val="ru-RU"/>
        </w:rPr>
      </w:pPr>
      <w:r>
        <w:rPr>
          <w:lang w:val="ru-RU"/>
        </w:rPr>
      </w:r>
    </w:p>
    <w:p>
      <w:pPr>
        <w:sectPr>
          <w:headerReference w:type="default" r:id="rId4"/>
          <w:headerReference w:type="first" r:id="rId5"/>
          <w:footerReference w:type="default" r:id="rId6"/>
          <w:footerReference w:type="first" r:id="rId7"/>
          <w:type w:val="nextPage"/>
          <w:pgSz w:orient="landscape" w:w="16838" w:h="11906"/>
          <w:pgMar w:left="1134" w:right="1134" w:gutter="0" w:header="567" w:top="1134" w:footer="709" w:bottom="766"/>
          <w:pgNumType w:fmt="decimal"/>
          <w:formProt w:val="false"/>
          <w:textDirection w:val="lrTb"/>
          <w:docGrid w:type="default" w:linePitch="360" w:charSpace="0"/>
        </w:sectPr>
        <w:pStyle w:val="Normal"/>
        <w:jc w:val="center"/>
        <w:rPr>
          <w:b/>
          <w:bCs/>
          <w:lang w:val="ru-RU"/>
        </w:rPr>
      </w:pPr>
      <w:r>
        <w:rPr>
          <w:b/>
          <w:lang w:val="ru-RU"/>
        </w:rPr>
        <w:t xml:space="preserve"> </w:t>
      </w:r>
    </w:p>
    <w:p>
      <w:pPr>
        <w:pStyle w:val="ListParagraph"/>
        <w:ind w:left="0" w:hanging="0"/>
        <w:jc w:val="center"/>
        <w:rPr>
          <w:sz w:val="24"/>
          <w:szCs w:val="24"/>
        </w:rPr>
      </w:pPr>
      <w:r>
        <w:rPr>
          <w:b/>
          <w:bCs/>
          <w:sz w:val="24"/>
          <w:szCs w:val="24"/>
        </w:rPr>
        <w:t>3.</w:t>
      </w:r>
      <w:bookmarkStart w:id="33" w:name="_Toc51339699"/>
      <w:bookmarkStart w:id="34" w:name="_Toc46743519"/>
      <w:bookmarkStart w:id="35" w:name="_Toc54643710"/>
      <w:bookmarkStart w:id="36" w:name="_Toc53395937"/>
      <w:bookmarkStart w:id="37" w:name="_Toc53393312"/>
      <w:r>
        <w:rPr>
          <w:b/>
          <w:bCs/>
          <w:sz w:val="24"/>
          <w:szCs w:val="24"/>
        </w:rPr>
        <w:t>Требования к документации по ценообразованию</w:t>
      </w:r>
      <w:bookmarkEnd w:id="36"/>
      <w:bookmarkEnd w:id="37"/>
      <w:r>
        <w:rPr>
          <w:b/>
          <w:bCs/>
          <w:sz w:val="24"/>
          <w:szCs w:val="24"/>
        </w:rPr>
        <w:t xml:space="preserve"> на этапе закупки</w:t>
      </w:r>
      <w:bookmarkEnd w:id="33"/>
      <w:bookmarkEnd w:id="34"/>
      <w:bookmarkEnd w:id="35"/>
    </w:p>
    <w:p>
      <w:pPr>
        <w:pStyle w:val="Normal"/>
        <w:widowControl w:val="false"/>
        <w:snapToGrid w:val="false"/>
        <w:rPr>
          <w:rFonts w:cs="Calibri"/>
          <w:b/>
          <w:bCs/>
          <w:color w:val="000000"/>
          <w:sz w:val="24"/>
          <w:szCs w:val="24"/>
          <w:lang w:val="ru-RU" w:eastAsia="en-US" w:bidi="en-US"/>
        </w:rPr>
      </w:pPr>
      <w:r>
        <w:rPr>
          <w:rFonts w:cs="Calibri"/>
          <w:b/>
          <w:bCs/>
          <w:color w:val="000000"/>
          <w:sz w:val="24"/>
          <w:szCs w:val="24"/>
          <w:lang w:val="ru-RU" w:eastAsia="en-US" w:bidi="en-US"/>
        </w:rPr>
      </w:r>
    </w:p>
    <w:p>
      <w:pPr>
        <w:pStyle w:val="ListParagraph"/>
        <w:ind w:left="0" w:firstLine="1020"/>
        <w:jc w:val="both"/>
        <w:rPr/>
      </w:pPr>
      <w:r>
        <w:rPr/>
        <w:t>3.1 В обоснование стоимости своей заявки Участник предоставляет Коммерческое предложение, по установленным в Документации о закупке формам (с учетом прилагаемых к ним инструкций по заполнению).</w:t>
      </w:r>
    </w:p>
    <w:p>
      <w:pPr>
        <w:pStyle w:val="ListParagraph"/>
        <w:ind w:left="0" w:firstLine="1020"/>
        <w:jc w:val="both"/>
        <w:rPr/>
      </w:pPr>
      <w:r>
        <w:rPr>
          <w:bCs/>
        </w:rPr>
        <w:t>3.2 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p>
    <w:p>
      <w:pPr>
        <w:pStyle w:val="Normal"/>
        <w:widowControl w:val="false"/>
        <w:snapToGrid w:val="false"/>
        <w:rPr>
          <w:rFonts w:cs="Calibri"/>
          <w:b/>
          <w:bCs/>
          <w:color w:val="000000"/>
          <w:szCs w:val="22"/>
          <w:lang w:val="ru-RU" w:eastAsia="en-US" w:bidi="en-US"/>
        </w:rPr>
      </w:pPr>
      <w:r>
        <w:rPr>
          <w:rFonts w:cs="Calibri"/>
          <w:b/>
          <w:bCs/>
          <w:color w:val="000000"/>
          <w:szCs w:val="22"/>
          <w:lang w:val="ru-RU" w:eastAsia="en-US" w:bidi="en-US"/>
        </w:rPr>
      </w:r>
    </w:p>
    <w:p>
      <w:pPr>
        <w:pStyle w:val="Normal"/>
        <w:ind w:firstLine="709"/>
        <w:jc w:val="both"/>
        <w:rPr>
          <w:lang w:val="ru-RU"/>
        </w:rPr>
      </w:pPr>
      <w:r>
        <w:rPr>
          <w:rFonts w:cs="Calibri"/>
          <w:b/>
          <w:bCs/>
          <w:color w:val="000000"/>
          <w:lang w:val="ru-RU" w:eastAsia="en-US" w:bidi="en-US"/>
        </w:rPr>
        <w:t>4.Требования к документации по ценообразованию на этапе заключения (исполнения) договора</w:t>
      </w:r>
    </w:p>
    <w:p>
      <w:pPr>
        <w:pStyle w:val="Normal"/>
        <w:spacing w:lineRule="atLeast" w:line="17" w:before="0" w:after="0"/>
        <w:jc w:val="both"/>
        <w:rPr/>
      </w:pPr>
      <w:r>
        <w:rPr>
          <w:rFonts w:eastAsia="Tempora LGC Uni"/>
          <w:sz w:val="24"/>
          <w:szCs w:val="24"/>
          <w:lang w:val="ru-RU"/>
        </w:rPr>
        <w:tab/>
        <w:t>По результатам настоящей закупки заключается договор с предельной ценой, предложенной Участником закупки, который был признан Победителем, заявка которого соответствовала требованиям и содержала наиболее низкую цену.</w:t>
      </w:r>
    </w:p>
    <w:p>
      <w:pPr>
        <w:pStyle w:val="Normal"/>
        <w:ind w:firstLine="709"/>
        <w:rPr>
          <w:rFonts w:cs="Calibri"/>
          <w:color w:val="000000"/>
          <w:szCs w:val="22"/>
          <w:lang w:val="ru-RU" w:eastAsia="en-US" w:bidi="en-US"/>
          <w14:ligatures w14:val="standardContextual"/>
        </w:rPr>
      </w:pPr>
      <w:r>
        <w:rPr/>
      </w:r>
    </w:p>
    <w:sectPr>
      <w:headerReference w:type="default" r:id="rId8"/>
      <w:headerReference w:type="first" r:id="rId9"/>
      <w:footerReference w:type="default" r:id="rId10"/>
      <w:footerReference w:type="first" r:id="rId11"/>
      <w:type w:val="nextPage"/>
      <w:pgSz w:w="11906" w:h="16838"/>
      <w:pgMar w:left="1134" w:right="765"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9</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152" w:hanging="432"/>
      </w:pPr>
      <w:rPr>
        <w:sz w:val="24"/>
        <w:b/>
        <w:szCs w:val="24"/>
        <w:bCs/>
        <w:rFonts w:ascii="Times New Roman" w:hAnsi="Times New Roman"/>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6">
    <w:lvl w:ilvl="0">
      <w:start w:val="1"/>
      <w:numFmt w:val="decimal"/>
      <w:suff w:val="space"/>
      <w:lvlText w:val="%1."/>
      <w:lvlJc w:val="left"/>
      <w:pPr>
        <w:tabs>
          <w:tab w:val="num" w:pos="0"/>
        </w:tabs>
        <w:ind w:left="232" w:hanging="113"/>
      </w:pPr>
      <w:rPr>
        <w:sz w:val="20"/>
        <w:szCs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lvl>
    <w:lvl w:ilvl="2">
      <w:start w:val="1"/>
      <w:numFmt w:val="decimal"/>
      <w:suff w:val="space"/>
      <w:lvlText w:val="%1.%2.%3."/>
      <w:lvlJc w:val="left"/>
      <w:pPr>
        <w:tabs>
          <w:tab w:val="num" w:pos="0"/>
        </w:tabs>
        <w:ind w:left="0" w:hanging="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124e"/>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UnresolvedMention" w:customStyle="1">
    <w:name w:val="Unresolved Mention"/>
    <w:basedOn w:val="DefaultParagraphFont"/>
    <w:uiPriority w:val="99"/>
    <w:semiHidden/>
    <w:unhideWhenUsed/>
    <w:qFormat/>
    <w:rsid w:val="00540ad9"/>
    <w:rPr>
      <w:color w:val="605E5C"/>
      <w:shd w:fill="E1DFDD" w:val="clear"/>
    </w:rPr>
  </w:style>
  <w:style w:type="character" w:styleId="Style17" w:customStyle="1">
    <w:name w:val="комментарий"/>
    <w:qFormat/>
    <w:rsid w:val="0034724c"/>
    <w:rPr>
      <w:b/>
      <w:i/>
      <w:shd w:fill="FFFF99" w:val="clear"/>
    </w:rPr>
  </w:style>
  <w:style w:type="character" w:styleId="Linenumber1" w:customStyle="1">
    <w:name w:val="line number1"/>
    <w:qFormat/>
    <w:rPr/>
  </w:style>
  <w:style w:type="character" w:styleId="Linenumber">
    <w:name w:val="line number"/>
    <w:qFormat/>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Caption1111" w:customStyle="1">
    <w:name w:val="caption11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9"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11" w:customStyle="1">
    <w:name w:val="caption11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3"/>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Style30" w:customStyle="1">
    <w:name w:val="Таблица шапка"/>
    <w:basedOn w:val="Normal"/>
    <w:qFormat/>
    <w:rsid w:val="0034724c"/>
    <w:pPr>
      <w:keepNext w:val="true"/>
      <w:spacing w:before="40" w:after="40"/>
      <w:ind w:left="57" w:right="57" w:hanging="0"/>
    </w:pPr>
    <w:rPr>
      <w:sz w:val="22"/>
      <w:szCs w:val="26"/>
      <w:lang w:val="ru-RU"/>
    </w:rPr>
  </w:style>
  <w:style w:type="paragraph" w:styleId="Style31" w:customStyle="1">
    <w:name w:val="Таблица"/>
    <w:basedOn w:val="Normal"/>
    <w:qFormat/>
    <w:rsid w:val="0034724c"/>
    <w:pPr>
      <w:keepNext w:val="true"/>
      <w:spacing w:before="60" w:after="60"/>
      <w:jc w:val="center"/>
    </w:pPr>
    <w:rPr>
      <w:rFonts w:eastAsia="Calibri"/>
      <w:b/>
      <w:lang w:val="x-none" w:eastAsia="x-none"/>
    </w:rPr>
  </w:style>
  <w:style w:type="numbering" w:styleId="NoList" w:default="1">
    <w:name w:val="No List"/>
    <w:uiPriority w:val="99"/>
    <w:semiHidden/>
    <w:unhideWhenUsed/>
    <w:qFormat/>
  </w:style>
  <w:style w:type="numbering" w:styleId="22" w:customStyle="1">
    <w:name w:val="Стиль2"/>
    <w:uiPriority w:val="99"/>
    <w:qFormat/>
    <w:rsid w:val="0034724c"/>
  </w:style>
  <w:style w:type="numbering" w:styleId="20963460371">
    <w:name w:val="2096346037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C3A620-F76F-4C18-914A-E38AFE49F11E}">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B5A2B270-3976-4291-B0EC-412EA3B06AE0}">
  <ds:schemaRefs>
    <ds:schemaRef ds:uri="http://schemas.openxmlformats.org/officeDocument/2006/bibliography"/>
  </ds:schemaRefs>
</ds:datastoreItem>
</file>

<file path=customXml/itemProps6.xml><?xml version="1.0" encoding="utf-8"?>
<ds:datastoreItem xmlns:ds="http://schemas.openxmlformats.org/officeDocument/2006/customXml" ds:itemID="{EA58CD06-F548-4866-9814-EB75F3C0D2A1}">
  <ds:schemaRefs>
    <ds:schemaRef ds:uri="http://schemas.openxmlformats.org/officeDocument/2006/bibliography"/>
  </ds:schemaRefs>
</ds:datastoreItem>
</file>

<file path=customXml/itemProps7.xml><?xml version="1.0" encoding="utf-8"?>
<ds:datastoreItem xmlns:ds="http://schemas.openxmlformats.org/officeDocument/2006/customXml" ds:itemID="{CE3E4ED8-4DC2-4DB1-BDD1-4308CE8D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AlterOffice/3.4.0.9$Linux_X86_64 LibreOffice_project/b8daf9e823b1a5463a2f48435ddc2e8696e7d4fc</Application>
  <AppVersion>15.0000</AppVersion>
  <Pages>10</Pages>
  <Words>2449</Words>
  <Characters>16541</Characters>
  <CharactersWithSpaces>18797</CharactersWithSpaces>
  <Paragraphs>255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2024-12-04T01:45:00Z</dcterms:created>
  <dc:creator>UK VoHEC</dc:creator>
  <dc:description/>
  <dc:language>ru-RU</dc:language>
  <cp:lastModifiedBy>streletsva@corp.gidroogk.com</cp:lastModifiedBy>
  <cp:lastPrinted>2024-06-26T05:16:00Z</cp:lastPrinted>
  <dcterms:modified xsi:type="dcterms:W3CDTF">2026-06-02T15:40:03Z</dcterms:modified>
  <cp:revision>20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