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ТЕХНИЧЕСКИЕ ТРЕБОВАНИЯ</w:t>
      </w:r>
    </w:p>
    <w:p>
      <w:pPr>
        <w:pStyle w:val="Heading2"/>
        <w:ind w:left="43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 xml:space="preserve">ОКПД2 25.11.23.110 Поставка комплекта шумозащитных экранов 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(у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часток 3в – А и 1а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)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 xml:space="preserve"> на Партизанскую ГРЭС</w:t>
      </w:r>
    </w:p>
    <w:p>
      <w:pPr>
        <w:pStyle w:val="Heading2"/>
        <w:ind w:left="432" w:hanging="0"/>
        <w:jc w:val="center"/>
        <w:rPr>
          <w:rFonts w:ascii="Times New Roman" w:hAnsi="Times New Roman"/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lang w:val="ru-RU"/>
        </w:rPr>
      </w:r>
    </w:p>
    <w:p>
      <w:pPr>
        <w:pStyle w:val="Heading2"/>
        <w:ind w:left="432" w:hanging="0"/>
        <w:jc w:val="center"/>
        <w:rPr>
          <w:rFonts w:ascii="Times New Roman" w:hAnsi="Times New Roman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Лот №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00" w:leader="none"/>
        </w:tabs>
        <w:spacing w:lineRule="auto" w:line="276"/>
        <w:ind w:left="0" w:hanging="0"/>
        <w:jc w:val="center"/>
        <w:outlineLvl w:val="0"/>
        <w:rPr>
          <w:rFonts w:ascii="Times New Roman" w:hAnsi="Times New Roman"/>
          <w:sz w:val="22"/>
          <w:szCs w:val="22"/>
          <w:lang w:val="x-none"/>
        </w:rPr>
      </w:pPr>
      <w:r>
        <w:rPr>
          <w:sz w:val="22"/>
          <w:szCs w:val="22"/>
          <w:lang w:val="x-none"/>
        </w:rPr>
      </w:r>
    </w:p>
    <w:p>
      <w:pPr>
        <w:pStyle w:val="Normal"/>
        <w:rPr>
          <w:rFonts w:ascii="Times New Roman" w:hAnsi="Times New Roman"/>
          <w:sz w:val="22"/>
          <w:szCs w:val="22"/>
          <w:lang w:val="x-none"/>
        </w:rPr>
      </w:pPr>
      <w:r>
        <w:rPr>
          <w:sz w:val="22"/>
          <w:szCs w:val="22"/>
          <w:lang w:val="x-none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  <w:tab/>
        <w:t>Общие сведения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1"/>
        </w:numPr>
        <w:ind w:left="0" w:hanging="0"/>
        <w:rPr>
          <w:sz w:val="22"/>
          <w:szCs w:val="22"/>
        </w:rPr>
      </w:pPr>
      <w:bookmarkStart w:id="0" w:name="_Toc75446568"/>
      <w:bookmarkStart w:id="1" w:name="_Toc46743506"/>
      <w:r>
        <w:rPr>
          <w:sz w:val="22"/>
          <w:szCs w:val="22"/>
        </w:rPr>
        <w:t>Наименование закупаемой продукции</w:t>
      </w:r>
      <w:bookmarkEnd w:id="0"/>
      <w:bookmarkEnd w:id="1"/>
    </w:p>
    <w:p>
      <w:pPr>
        <w:pStyle w:val="Normal"/>
        <w:jc w:val="both"/>
        <w:rPr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 xml:space="preserve">ОКПД2 25.11.23.110 Поставка комплекта шумозащитных экранов 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(у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часток 3в – А и 1а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>)</w:t>
      </w:r>
      <w:r>
        <w:rPr>
          <w:rFonts w:eastAsia="Calibri" w:cs="Times New Roman"/>
          <w:b w:val="false"/>
          <w:bCs w:val="false"/>
          <w:sz w:val="22"/>
          <w:szCs w:val="22"/>
          <w:lang w:val="ru-RU" w:eastAsia="x-none"/>
        </w:rPr>
        <w:t xml:space="preserve"> на Партизанскую ГРЭС</w:t>
      </w:r>
      <w:r>
        <w:rPr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(далее – продукция)</w:t>
      </w:r>
      <w:r>
        <w:rPr>
          <w:sz w:val="22"/>
          <w:szCs w:val="22"/>
        </w:rPr>
        <w:t xml:space="preserve">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1"/>
        </w:numPr>
        <w:ind w:left="0" w:hanging="0"/>
        <w:rPr>
          <w:sz w:val="22"/>
          <w:szCs w:val="22"/>
        </w:rPr>
      </w:pPr>
      <w:bookmarkStart w:id="2" w:name="_Toc75446569"/>
      <w:bookmarkStart w:id="3" w:name="_Toc46743507"/>
      <w:r>
        <w:rPr>
          <w:sz w:val="22"/>
          <w:szCs w:val="22"/>
        </w:rPr>
        <w:t xml:space="preserve">Цель </w:t>
      </w:r>
      <w:bookmarkEnd w:id="3"/>
      <w:r>
        <w:rPr>
          <w:sz w:val="22"/>
          <w:szCs w:val="22"/>
        </w:rPr>
        <w:t xml:space="preserve">использования закупаемой продукции </w:t>
      </w:r>
      <w:bookmarkEnd w:id="2"/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9"/>
          <w:tab w:val="left" w:pos="426" w:leader="none"/>
        </w:tabs>
        <w:jc w:val="both"/>
        <w:rPr/>
      </w:pPr>
      <w:r>
        <w:rPr>
          <w:rStyle w:val="Style"/>
          <w:b w:val="false"/>
          <w:bCs/>
          <w:i w:val="false"/>
          <w:sz w:val="22"/>
          <w:szCs w:val="22"/>
          <w:shd w:fill="FFFFFF" w:val="clear"/>
        </w:rPr>
        <w:t>Исполнение доходного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Договор № 1520-51-2023 от 28.04.2023 работы по строительству временных и проектных инженерно-технических средств охраны (ИТСО) для реализации проекта «Расширение Партизанской ГРЭС», заключенный между АО УК «ГИДРООГК» и АО «Гидроремонт-ВКК».</w:t>
      </w:r>
    </w:p>
    <w:p>
      <w:pPr>
        <w:pStyle w:val="Normal"/>
        <w:widowControl w:val="false"/>
        <w:suppressLineNumbers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"/>
        </w:numPr>
        <w:ind w:left="426" w:hanging="426"/>
        <w:jc w:val="center"/>
        <w:rPr>
          <w:sz w:val="22"/>
          <w:szCs w:val="22"/>
        </w:rPr>
      </w:pPr>
      <w:bookmarkStart w:id="4" w:name="_Toc51339693"/>
      <w:bookmarkStart w:id="5" w:name="_Toc75446573"/>
      <w:r>
        <w:rPr>
          <w:sz w:val="22"/>
          <w:szCs w:val="22"/>
        </w:rPr>
        <w:t>Требования к продукции</w:t>
      </w:r>
      <w:bookmarkEnd w:id="4"/>
      <w:bookmarkEnd w:id="5"/>
    </w:p>
    <w:p>
      <w:pPr>
        <w:pStyle w:val="Normal"/>
        <w:rPr>
          <w:rFonts w:ascii="Times New Roman" w:hAnsi="Times New Roman"/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Heading4"/>
        <w:numPr>
          <w:ilvl w:val="1"/>
          <w:numId w:val="1"/>
        </w:numPr>
        <w:ind w:left="0" w:hanging="0"/>
        <w:rPr>
          <w:sz w:val="22"/>
          <w:szCs w:val="22"/>
        </w:rPr>
      </w:pPr>
      <w:bookmarkStart w:id="6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hanging="0"/>
        <w:rPr>
          <w:sz w:val="22"/>
          <w:szCs w:val="22"/>
        </w:rPr>
      </w:pPr>
      <w:bookmarkStart w:id="7" w:name="_Toc75446575"/>
      <w:r>
        <w:rPr>
          <w:sz w:val="22"/>
          <w:szCs w:val="22"/>
        </w:rPr>
        <w:t>Перечень и объем закупаемой продукции</w:t>
      </w:r>
      <w:bookmarkEnd w:id="7"/>
    </w:p>
    <w:p>
      <w:pPr>
        <w:pStyle w:val="Normal"/>
        <w:rPr>
          <w:rFonts w:ascii="Times New Roman" w:hAnsi="Times New Roman"/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jc w:val="both"/>
        <w:rPr>
          <w:sz w:val="22"/>
          <w:szCs w:val="22"/>
        </w:rPr>
      </w:pPr>
      <w:bookmarkStart w:id="8" w:name="_Toc75446576"/>
      <w:bookmarkStart w:id="9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.1 Перечень </w:t>
      </w:r>
      <w:bookmarkEnd w:id="9"/>
      <w:r>
        <w:rPr>
          <w:sz w:val="22"/>
          <w:szCs w:val="22"/>
        </w:rPr>
        <w:t>и объем закупаемой продукци</w:t>
      </w:r>
      <w:bookmarkEnd w:id="8"/>
      <w:r>
        <w:rPr>
          <w:sz w:val="22"/>
          <w:szCs w:val="22"/>
        </w:rPr>
        <w:t>и</w:t>
      </w:r>
    </w:p>
    <w:tbl>
      <w:tblPr>
        <w:tblStyle w:val="afffff0"/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3"/>
        <w:gridCol w:w="5587"/>
        <w:gridCol w:w="1434"/>
        <w:gridCol w:w="1646"/>
      </w:tblGrid>
      <w:tr>
        <w:trPr>
          <w:trHeight w:val="570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55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5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I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Стойки ШЗЭ в комплекте с прижимными уголками и ответными пластинами.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С1-30х6000, двутавровая балка 30Б2, опорная пластина, косынки, покрытие горячее цинкование, С1-30х6000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перепадная С2-30х6340, швеллер 30П, опорная пластина, косынки, покрытие горячее цинкование, С2-30х6340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концевая С3-30х6000, швеллер 30П, опорная пластина, косынки, покрытие горячее цинкование, С3-30х6000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1.4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угловая С4-30х6000, швеллер 30П, опорная пластина, косынки, покрытие, горячее цинкование, С4-30х6000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1.5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Ответная пластина 450х400х25 покрытие горячее цинкование, косынки без покрытия, крепежные изделия М24 (Болт - 4 шт., шайба - 8 шт., гайка - 8 шт., гровер - 4 шт.)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1.6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Ответная пластина 516х450х25 покрытие горячее цинкование, косынки без покрытия, крепежные изделия М24 (Болт - 6 шт., шайба - 12 шт., гайка - 12 шт., гровер - 6 шт.)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1.7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Прижимной профиль П-30, уголок (63х40х5), покрытие горячее цинкование, метизы, П-30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II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Панель шумопоглощающая ПШ.МВ-100 (ТУ 5284-001-18896706-2014) с перфорацией, лист 0,7 / 0,7 мм. оцинкованный, цвет RAL 7004/7004 (Сигнальный серый), по размерам: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1150х500х100 мм. (на фрагмент 1,20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1950х500х100 мм. (на фрагмент 2,00м.)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2550х500х100 мм. (на фрагмент 2,60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2.4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2950х500х100 мм. (на фрагмент 3,00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III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Панель светопрозрачная ПС-10 (ТУ 5284-001-18896706-2014) по размерам: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1150х500х100 мм. (на фрагмент 1,20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1950х500х100 мм. (на фрагмент 2,00м.)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2550х500х100 мм. (на фрагмент 2,60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3.4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2950х500х100 мм. (на фрагмент 3,00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IV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Верхняя связь, труба диам.76х3мм, покрытие горячее цинкование, по размерам: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1192 мм. (на фрагмент 1,20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1992 мм. (на фрагмент 2,00м.)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2592 мм. (на фрагмент 2,60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4.4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2992 мм. (на фрагмент 3,00 м.)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V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Связь, двутавровая балка 30Б2, покрытие горячее цинкование, по размерам: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1740 мм. на пролет 2000 мм.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1880 мм. на пролет 2000 мм. с перепадом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2340 мм. на пролет 2600 мм.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5.4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2480 мм. на пролет 2600 мм. с перепадом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5.5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2740 мм. на пролет 3000 мм.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5.6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2880 мм. на пролет 3000 мм. с перепадом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VI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1800 мм. (312) цвет RAL 7004 (Сигнальный серый)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6.2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2000 мм. (312) цвет RAL 7004 (Сигнальный серый)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6.3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2000 мм. (312) цвет RAL 5005 (Сигнальный синий)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VII</w:t>
            </w:r>
          </w:p>
        </w:tc>
        <w:tc>
          <w:tcPr>
            <w:tcW w:w="5587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Цинкосодержащая краска-спрей</w:t>
            </w:r>
          </w:p>
        </w:tc>
        <w:tc>
          <w:tcPr>
            <w:tcW w:w="1434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 шт.:</w:t>
            </w:r>
          </w:p>
        </w:tc>
        <w:tc>
          <w:tcPr>
            <w:tcW w:w="1646" w:type="dxa"/>
            <w:tcBorders>
              <w:top w:val="nil"/>
            </w:tcBorders>
            <w:shd w:fill="B2B2B2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7.1</w:t>
            </w:r>
          </w:p>
        </w:tc>
        <w:tc>
          <w:tcPr>
            <w:tcW w:w="5587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Цинкосодержащая краска-спрей 400 мл.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</w:tr>
    </w:tbl>
    <w:p>
      <w:pPr>
        <w:pStyle w:val="Normal"/>
        <w:spacing w:lineRule="auto" w:line="288"/>
        <w:jc w:val="both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  <w:lang w:eastAsia="x-none"/>
        </w:rPr>
        <w:tab/>
        <w:t xml:space="preserve">Требование к комплектации, указанной в табл. </w:t>
      </w:r>
      <w:r>
        <w:rPr>
          <w:b/>
          <w:sz w:val="22"/>
          <w:szCs w:val="22"/>
          <w:lang w:eastAsia="x-none"/>
        </w:rPr>
        <w:t>1</w:t>
      </w:r>
      <w:r>
        <w:rPr>
          <w:b/>
          <w:sz w:val="22"/>
          <w:szCs w:val="22"/>
          <w:lang w:eastAsia="x-none"/>
        </w:rPr>
        <w:t>.1</w:t>
      </w:r>
      <w:r>
        <w:rPr>
          <w:sz w:val="22"/>
          <w:szCs w:val="22"/>
          <w:lang w:eastAsia="x-none"/>
        </w:rPr>
        <w:t>: до начала производства шумозащитных экранов, производитель разрабатывает чертежи КМД и согласовывает их с Заказчиком. При этом крепежные элементы и комплекты метизов могут быть изменены производителем.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tabs>
          <w:tab w:val="clear" w:pos="0"/>
        </w:tabs>
        <w:rPr>
          <w:rFonts w:ascii="Times New Roman" w:hAnsi="Times New Roman"/>
          <w:sz w:val="22"/>
          <w:szCs w:val="22"/>
        </w:rPr>
      </w:pPr>
      <w:bookmarkStart w:id="10" w:name="_Toc75446579"/>
      <w:bookmarkStart w:id="11" w:name="_Toc50125127"/>
      <w:bookmarkStart w:id="12" w:name="_Toc5133969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1.2</w:t>
      </w:r>
      <w:r>
        <w:rPr>
          <w:sz w:val="22"/>
          <w:szCs w:val="22"/>
        </w:rPr>
        <w:t xml:space="preserve"> </w:t>
      </w:r>
      <w:bookmarkStart w:id="13" w:name="_Hlk50465284"/>
      <w:r>
        <w:rPr>
          <w:sz w:val="22"/>
          <w:szCs w:val="22"/>
        </w:rPr>
        <w:t xml:space="preserve">Требования по срокам </w:t>
      </w:r>
      <w:bookmarkEnd w:id="11"/>
      <w:bookmarkEnd w:id="12"/>
      <w:bookmarkEnd w:id="13"/>
      <w:r>
        <w:rPr>
          <w:sz w:val="22"/>
          <w:szCs w:val="22"/>
          <w:lang w:val="ru-RU"/>
        </w:rPr>
        <w:t>поставки продукции</w:t>
      </w:r>
      <w:bookmarkEnd w:id="10"/>
    </w:p>
    <w:p>
      <w:pPr>
        <w:pStyle w:val="Normal"/>
        <w:rPr>
          <w:rFonts w:ascii="Times New Roman" w:hAnsi="Times New Roman"/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x-none"/>
        </w:rPr>
        <w:t xml:space="preserve">Таблица </w:t>
      </w:r>
      <w:r>
        <w:rPr>
          <w:sz w:val="22"/>
          <w:szCs w:val="22"/>
          <w:lang w:eastAsia="x-none"/>
        </w:rPr>
        <w:t>1</w:t>
      </w:r>
      <w:r>
        <w:rPr>
          <w:sz w:val="22"/>
          <w:szCs w:val="22"/>
          <w:lang w:eastAsia="x-none"/>
        </w:rPr>
        <w:t>.2 Требования по срокам поставки продукции:</w:t>
      </w:r>
    </w:p>
    <w:tbl>
      <w:tblPr>
        <w:tblStyle w:val="afffff0"/>
        <w:tblW w:w="935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1"/>
        <w:gridCol w:w="3899"/>
        <w:gridCol w:w="2440"/>
        <w:gridCol w:w="2210"/>
      </w:tblGrid>
      <w:tr>
        <w:trPr>
          <w:trHeight w:val="570" w:hRule="atLeast"/>
        </w:trPr>
        <w:tc>
          <w:tcPr>
            <w:tcW w:w="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 / партии продукции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Требования к началу срока поставки продукции</w:t>
            </w:r>
          </w:p>
        </w:tc>
        <w:tc>
          <w:tcPr>
            <w:tcW w:w="2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562" w:hRule="atLeast"/>
        </w:trPr>
        <w:tc>
          <w:tcPr>
            <w:tcW w:w="80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3899" w:type="dxa"/>
            <w:tcBorders/>
            <w:shd w:color="auto" w:fill="auto" w:val="clear"/>
            <w:vAlign w:val="bottom"/>
          </w:tcPr>
          <w:p>
            <w:pPr>
              <w:pStyle w:val="Heading2"/>
              <w:ind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x-none" w:bidi="ar-SA"/>
              </w:rPr>
              <w:t xml:space="preserve">ОКПД2 25.11.23.110 Поставка комплекта шумозащитных экранов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x-none" w:bidi="ar-SA"/>
              </w:rPr>
              <w:t>(у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x-none" w:bidi="ar-SA"/>
              </w:rPr>
              <w:t>часток 3в – А и 1а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x-none" w:bidi="ar-SA"/>
              </w:rPr>
              <w:t>)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x-none" w:bidi="ar-SA"/>
              </w:rPr>
              <w:t xml:space="preserve"> на Партизанскую ГРЭС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В течении </w:t>
            </w:r>
            <w:r>
              <w:rPr>
                <w:rFonts w:eastAsia="Calibri" w:cs="Times New Roman"/>
                <w:color w:val="C9211E"/>
                <w:kern w:val="0"/>
                <w:sz w:val="22"/>
                <w:szCs w:val="22"/>
                <w:lang w:val="ru-RU" w:eastAsia="en-US" w:bidi="ar-SA"/>
              </w:rPr>
              <w:t>60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рабочих дней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560" w:right="851" w:gutter="0" w:header="0" w:top="907" w:footer="340" w:bottom="896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rPr>
          <w:rFonts w:ascii="Times New Roman" w:hAnsi="Times New Roman"/>
          <w:sz w:val="22"/>
          <w:szCs w:val="22"/>
        </w:rPr>
      </w:pPr>
      <w:bookmarkStart w:id="14" w:name="_Toc54785622"/>
      <w:bookmarkEnd w:id="14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Таблица 3. Требования к продукции</w:t>
      </w:r>
    </w:p>
    <w:tbl>
      <w:tblPr>
        <w:tblStyle w:val="afffff0"/>
        <w:tblW w:w="15080" w:type="dxa"/>
        <w:jc w:val="left"/>
        <w:tblInd w:w="2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3060"/>
        <w:gridCol w:w="3290"/>
        <w:gridCol w:w="2320"/>
        <w:gridCol w:w="3290"/>
        <w:gridCol w:w="2270"/>
      </w:tblGrid>
      <w:tr>
        <w:trPr>
          <w:trHeight w:val="424" w:hRule="atLeast"/>
        </w:trPr>
        <w:tc>
          <w:tcPr>
            <w:tcW w:w="1508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Наименование продукции (позиции № 1.1 –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Таблицы 2.1):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 xml:space="preserve">ОКПД2 25.11.23.110 Поставка комплекта шумозащитных экранов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>(у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>часток 3в – А и 1а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>)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 xml:space="preserve"> на Партизанскую ГРЭС</w:t>
            </w:r>
          </w:p>
        </w:tc>
      </w:tr>
      <w:tr>
        <w:trPr>
          <w:trHeight w:val="544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3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3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Соответствие стандартам</w:t>
            </w:r>
          </w:p>
        </w:tc>
      </w:tr>
      <w:tr>
        <w:trPr>
          <w:trHeight w:val="315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3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3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346" w:right="3578" w:hanging="360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23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85" w:hRule="atLeast"/>
        </w:trPr>
        <w:tc>
          <w:tcPr>
            <w:tcW w:w="850" w:type="dxa"/>
            <w:tcBorders/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DDDDDD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shd w:fill="DDDDDD" w:val="clear"/>
                <w:lang w:val="ru-RU" w:eastAsia="en-US" w:bidi="ar-SA"/>
              </w:rPr>
              <w:t>I</w:t>
            </w:r>
          </w:p>
        </w:tc>
        <w:tc>
          <w:tcPr>
            <w:tcW w:w="14230" w:type="dxa"/>
            <w:gridSpan w:val="5"/>
            <w:tcBorders/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b/>
                <w:bCs/>
                <w:highlight w:val="none"/>
                <w:shd w:fill="DDDDDD" w:val="clear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shd w:fill="DDDDDD" w:val="clear"/>
                <w:lang w:val="ru-RU" w:eastAsia="en-US" w:bidi="ar-SA"/>
              </w:rPr>
              <w:t>Стойки ШЗЭ в комплекте с прижимными уголками и ответными пластинами.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С1-30х6000, двутавровая балка 30Б2, опорная пластина, косынки, покрытие горячее цинкование, С1-30х6000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перепадная С2-30х6340, швеллер 30П, опорная пластина, косынки, покрытие горячее цинкование, С2-30х6340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концевая С3-30х6000, швеллер 30П, опорная пластина, косынки, покрытие горячее цинкование, С3-30х6000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1.4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Стойка угловая С4-30х6000, швеллер 30П, опорная пластина, косынки, покрытие, горячее цинкование, С4-30х6000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1.5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Ответная пластина 450х400х25 покрытие горячее цинкование, косынки без покрытия, крепежные изделия М24 (Болт - 4 шт., шайба - 8 шт., гайка - 8 шт., гровер - 4 шт.)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1.6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Ответная пластина 516х450х25 покрытие горячее цинкование, косынки без покрытия, крепежные изделия М24 (Болт - 6 шт., шайба - 12 шт., гайка - 12 шт., гровер - 6 шт.)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1.7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Прижимной профиль П-30, уголок (63х40х5), покрытие горячее цинкование, метизы, П-30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II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Панель шумопоглощающая ПШ.МВ-100 (ТУ 5284-001-18896706-2014) с перфорацией, лист 0,7 / 0,7 мм. оцинкованный, цвет RAL 7004/7004 (Сигнальный серый), по размерам: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1150х500х100 мм. (на фрагмент 1,20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1950х500х100 мм. (на фрагмент 2,00м.)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2550х500х100 мм. (на фрагмент 2,60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2.4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2950х500х100 мм. (на фрагмент 3,00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III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Панель светопрозрачная ПС-10 (ТУ 5284-001-18896706-2014) по размерам: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1150х500х100 мм. (на фрагмент 1,20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1950х500х100 мм. (на фрагмент 2,00м.)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2550х500х100 мм. (на фрагмент 2,60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3.4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2950х500х100 мм. (на фрагмент 3,00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Соответствие СП, ТУ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 20.13330.2016; СП 131.13330.2020; Постановление Правительства РФ от 05 мая 2012 №458 «Правила по обеспечению безопасности и антитерристической защищенности». (ТУ 5284-001-18896706-2014)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IV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Верхняя связь, труба диам.76х3мм, покрытие горячее цинкование, по размерам: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1192 мм. (на фрагмент 1,20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1992 мм. (на фрагмент 2,00м.)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2592 мм. (на фрагмент 2,60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4.4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2992 мм. (на фрагмент 3,00 м.)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V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Связь, двутавровая балка 30Б2, покрытие горячее цинкование, по размерам: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1740 мм. на пролет 2000 мм.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1880 мм. на пролет 2000 мм. с перепадом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2340 мм. на пролет 2600 мм.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5.4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2480 мм. на пролет 2600 мм. с перепадом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5.5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2740 мм. на пролет 3000 мм.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5.6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 2880 мм. на пролет 3000 мм. с перепадом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горячее цинкование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ГОСТ Р 57837-2017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VI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1800 мм. (312) цвет RAL 7004 (Сигнальный серый)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лист стальной оцинкованный, порошковая окраска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6.2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2000 мм. (312) цвет RAL 7004 (Сигнальный серый)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лист стальной оцинкованный, порошковая окраска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6.3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Фасонный элемент ФЭ-1 2000 мм. (312) цвет RAL 5005 (Сигнальный синий)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защитное покрытие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лист стальной оцинкованный, порошковая окраска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VII</w:t>
            </w:r>
          </w:p>
        </w:tc>
        <w:tc>
          <w:tcPr>
            <w:tcW w:w="14230" w:type="dxa"/>
            <w:gridSpan w:val="5"/>
            <w:tcBorders>
              <w:top w:val="nil"/>
            </w:tcBorders>
            <w:shd w:fill="DDDDDD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Цинкосодержащая краска-спрей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7.1</w:t>
            </w:r>
          </w:p>
        </w:tc>
        <w:tc>
          <w:tcPr>
            <w:tcW w:w="6350" w:type="dxa"/>
            <w:gridSpan w:val="2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Цинкосодержащая краска-спрей 400 мл.</w:t>
            </w:r>
          </w:p>
        </w:tc>
        <w:tc>
          <w:tcPr>
            <w:tcW w:w="232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Состав</w:t>
            </w:r>
          </w:p>
        </w:tc>
        <w:tc>
          <w:tcPr>
            <w:tcW w:w="3290" w:type="dxa"/>
            <w:tcBorders>
              <w:top w:val="nil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Цинкосодержащая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1117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692860, Российская Федерация, Приморский край, г. Партизанск, улица Свердлова, 5А, площадка Партизанской ГРЭС, Производственный участок АО «Гидроремонт-ВКК» на Партизанской ГРЭС.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Приемка продукции</w:t>
            </w:r>
          </w:p>
        </w:tc>
        <w:tc>
          <w:tcPr>
            <w:tcW w:w="1117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Осуществляется только в рабочие дни с 9-00 до 12-00 и с 13-00 до 17-00.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1423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14230" w:type="dxa"/>
            <w:gridSpan w:val="5"/>
            <w:tcBorders/>
            <w:shd w:color="auto" w:fill="FFFFFF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Сроки гарантии</w:t>
            </w:r>
          </w:p>
        </w:tc>
        <w:tc>
          <w:tcPr>
            <w:tcW w:w="1117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9"/>
                <w:tab w:val="left" w:pos="1134" w:leader="none"/>
                <w:tab w:val="left" w:pos="1276" w:leader="none"/>
              </w:tabs>
              <w:suppressAutoHyphens w:val="true"/>
              <w:spacing w:before="0" w:after="120"/>
              <w:ind w:left="0" w:hanging="0"/>
              <w:jc w:val="both"/>
              <w:rPr>
                <w:rFonts w:cs="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4"/>
                <w:lang w:val="ru-RU" w:eastAsia="en-US" w:bidi="ar-SA"/>
              </w:rPr>
              <w:t>Не менее 36 (тридцать шесть)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423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1117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 w:cs=""/>
                <w:bCs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, транспортную накладную</w:t>
            </w:r>
          </w:p>
        </w:tc>
      </w:tr>
      <w:tr>
        <w:trPr>
          <w:trHeight w:val="811" w:hRule="atLeast"/>
        </w:trPr>
        <w:tc>
          <w:tcPr>
            <w:tcW w:w="850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3060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x-none" w:bidi="ar-SA"/>
              </w:rPr>
              <w:t>Конструкторская документация серии КМД на шумозащитные экраны.</w:t>
            </w:r>
          </w:p>
        </w:tc>
        <w:tc>
          <w:tcPr>
            <w:tcW w:w="1117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ru-RU" w:eastAsia="x-none" w:bidi="ar-SA"/>
              </w:rPr>
              <w:t>До начала производства шумозащитных экранов, разработать чертежи КМД, согласовать с Заказчиком. При этом крепежные элементы и комплекты метизов могут быть изменены производителем.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423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"/>
                <w:b/>
                <w:i w:val="false"/>
                <w:i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>
          <w:trHeight w:val="2050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1423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- Продукция должна быть новой, ранее не использовавшейся.</w:t>
            </w:r>
          </w:p>
          <w:p>
            <w:pPr>
              <w:pStyle w:val="18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FFFFFF" w:val="clear"/>
                <w:em w:val="none"/>
                <w:lang w:val="ru-RU" w:eastAsia="ru-RU" w:bidi="ar-SA"/>
              </w:rPr>
              <w:t xml:space="preserve">- Продукция поставщика должна быть пригодна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FFFFFF" w:val="clear"/>
                <w:em w:val="none"/>
                <w:lang w:val="ru-RU" w:eastAsia="ru-RU" w:bidi="ar-SA"/>
              </w:rPr>
              <w:t>по техническому конструктивному исполнению (перфорация, изгиб, усиления панели), а так же по цветовому соотношению (оттенку, тону) окраски к ранее поставленными и уже смонтированным на объекте шумозащитными экранами.</w:t>
            </w:r>
          </w:p>
          <w:p>
            <w:pPr>
              <w:pStyle w:val="18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</w:rPr>
              <w:t>- 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18"/>
              <w:spacing w:before="0" w:after="200"/>
              <w:ind w:hanging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</w:rPr>
              <w:t>-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orient="landscape" w:w="16838" w:h="11906"/>
      <w:pgMar w:left="1040" w:right="508" w:gutter="0" w:header="0" w:top="709" w:footer="852" w:bottom="12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38631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3371169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390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567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93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3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390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color w:val="000000"/>
      </w:rPr>
    </w:lvl>
    <w:lvl w:ilvl="1">
      <w:start w:val="1"/>
      <w:numFmt w:val="decimal"/>
      <w:lvlText w:val="%1.%2."/>
      <w:lvlJc w:val="center"/>
      <w:pPr>
        <w:tabs>
          <w:tab w:val="num" w:pos="1135"/>
        </w:tabs>
        <w:ind w:left="1567" w:hanging="134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93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3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47fa9"/>
    <w:pPr>
      <w:keepNext w:val="true"/>
      <w:tabs>
        <w:tab w:val="clear" w:pos="709"/>
        <w:tab w:val="left" w:pos="0" w:leader="none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447fa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link w:val="Footnote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sid w:val="00cd6e4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link w:val="Textbodyinde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link w:val="Textbody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>
    <w:name w:val="Hyperlink"/>
    <w:uiPriority w:val="99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99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link w:val="Endnote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cd6e4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7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Style18" w:customStyle="1">
    <w:name w:val="Текст Знак"/>
    <w:basedOn w:val="DefaultParagraphFont"/>
    <w:link w:val="PlainText"/>
    <w:uiPriority w:val="99"/>
    <w:semiHidden/>
    <w:qFormat/>
    <w:rsid w:val="004f1ff6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f7047"/>
    <w:rPr>
      <w:color w:val="954F72"/>
      <w:u w:val="single"/>
    </w:rPr>
  </w:style>
  <w:style w:type="character" w:styleId="25" w:customStyle="1">
    <w:name w:val="Гиперссылка2"/>
    <w:qFormat/>
    <w:rPr>
      <w:color w:val="000080"/>
      <w:u w:val="single"/>
    </w:rPr>
  </w:style>
  <w:style w:type="character" w:styleId="Value" w:customStyle="1">
    <w:name w:val="value"/>
    <w:qFormat/>
    <w:rPr/>
  </w:style>
  <w:style w:type="character" w:styleId="Text" w:customStyle="1">
    <w:name w:val="text"/>
    <w:qFormat/>
    <w:rPr/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14" w:customStyle="1">
    <w:name w:val="Гиперссылка1"/>
    <w:qFormat/>
    <w:rPr>
      <w:color w:val="0000FF"/>
      <w:u w:val="single"/>
    </w:rPr>
  </w:style>
  <w:style w:type="character" w:styleId="FootnoteCharacters" w:customStyle="1">
    <w:name w:val="Footnote Characters"/>
    <w:qFormat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6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9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9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7" w:customStyle="1">
    <w:name w:val="Пункт2"/>
    <w:basedOn w:val="Normal"/>
    <w:link w:val="24"/>
    <w:qFormat/>
    <w:rsid w:val="00cd6e45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8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Caption111111" w:customStyle="1">
    <w:name w:val="caption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41" w:customStyle="1">
    <w:name w:val="Маркированный список 4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9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1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9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9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9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PlainText">
    <w:name w:val="Plain Text"/>
    <w:basedOn w:val="Normal"/>
    <w:link w:val="Style18"/>
    <w:uiPriority w:val="99"/>
    <w:semiHidden/>
    <w:unhideWhenUsed/>
    <w:qFormat/>
    <w:rsid w:val="004f1ff6"/>
    <w:pPr/>
    <w:rPr>
      <w:rFonts w:ascii="Consolas" w:hAnsi="Consolas"/>
      <w:sz w:val="21"/>
      <w:szCs w:val="21"/>
    </w:rPr>
  </w:style>
  <w:style w:type="paragraph" w:styleId="Standard" w:customStyle="1">
    <w:name w:val="Standard"/>
    <w:qFormat/>
    <w:rsid w:val="003f0f2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9f7047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Font5" w:customStyle="1">
    <w:name w:val="font5"/>
    <w:basedOn w:val="Normal"/>
    <w:qFormat/>
    <w:rsid w:val="009f7047"/>
    <w:pPr>
      <w:suppressAutoHyphens w:val="false"/>
      <w:spacing w:beforeAutospacing="1" w:afterAutospacing="1"/>
    </w:pPr>
    <w:rPr>
      <w:rFonts w:eastAsia="Times New Roman" w:cs="Times New Roman"/>
      <w:color w:val="000000"/>
      <w:szCs w:val="24"/>
      <w:lang w:eastAsia="ru-RU"/>
    </w:rPr>
  </w:style>
  <w:style w:type="paragraph" w:styleId="Font6" w:customStyle="1">
    <w:name w:val="font6"/>
    <w:basedOn w:val="Normal"/>
    <w:qFormat/>
    <w:rsid w:val="009f7047"/>
    <w:pPr>
      <w:suppressAutoHyphens w:val="false"/>
      <w:spacing w:beforeAutospacing="1" w:afterAutospacing="1"/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Xl65" w:customStyle="1">
    <w:name w:val="xl65"/>
    <w:basedOn w:val="Normal"/>
    <w:qFormat/>
    <w:rsid w:val="009f7047"/>
    <w:pP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Xl66" w:customStyle="1">
    <w:name w:val="xl66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styleId="Xl67" w:customStyle="1">
    <w:name w:val="xl67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styleId="Xl68" w:customStyle="1">
    <w:name w:val="xl68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Xl69" w:customStyle="1">
    <w:name w:val="xl69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70" w:customStyle="1">
    <w:name w:val="xl70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Xl71" w:customStyle="1">
    <w:name w:val="xl71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Xl72" w:customStyle="1">
    <w:name w:val="xl72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3" w:customStyle="1">
    <w:name w:val="xl73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Xl74" w:customStyle="1">
    <w:name w:val="xl74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styleId="Xl75" w:customStyle="1">
    <w:name w:val="xl75"/>
    <w:basedOn w:val="Normal"/>
    <w:qFormat/>
    <w:rsid w:val="009f704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6" w:customStyle="1">
    <w:name w:val="xl76"/>
    <w:basedOn w:val="Normal"/>
    <w:qFormat/>
    <w:rsid w:val="009f7047"/>
    <w:pPr>
      <w:pBdr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77" w:customStyle="1">
    <w:name w:val="xl77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78" w:customStyle="1">
    <w:name w:val="xl78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79" w:customStyle="1">
    <w:name w:val="xl79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Xl80" w:customStyle="1">
    <w:name w:val="xl80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styleId="Xl81" w:customStyle="1">
    <w:name w:val="xl81"/>
    <w:basedOn w:val="Normal"/>
    <w:qFormat/>
    <w:rsid w:val="009f7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82" w:customStyle="1">
    <w:name w:val="xl82"/>
    <w:basedOn w:val="Normal"/>
    <w:qFormat/>
    <w:rsid w:val="009f704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83" w:customStyle="1">
    <w:name w:val="xl83"/>
    <w:basedOn w:val="Normal"/>
    <w:qFormat/>
    <w:rsid w:val="009f704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Xl84" w:customStyle="1">
    <w:name w:val="xl84"/>
    <w:basedOn w:val="Normal"/>
    <w:qFormat/>
    <w:rsid w:val="009f704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eastAsia="Times New Roman" w:cs="Times New Roman"/>
      <w:szCs w:val="24"/>
      <w:lang w:eastAsia="ru-RU"/>
    </w:rPr>
  </w:style>
  <w:style w:type="paragraph" w:styleId="Xl85" w:customStyle="1">
    <w:name w:val="xl85"/>
    <w:basedOn w:val="Normal"/>
    <w:qFormat/>
    <w:rsid w:val="009f704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Xl86" w:customStyle="1">
    <w:name w:val="xl86"/>
    <w:basedOn w:val="Normal"/>
    <w:qFormat/>
    <w:rsid w:val="009f7047"/>
    <w:pPr>
      <w:pBdr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Xl87" w:customStyle="1">
    <w:name w:val="xl87"/>
    <w:basedOn w:val="Normal"/>
    <w:qFormat/>
    <w:rsid w:val="009f704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212" w:customStyle="1">
    <w:name w:val="Обычный2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12" w:customStyle="1">
    <w:name w:val="Знак Знак Знак Знак1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/>
    </w:rPr>
  </w:style>
  <w:style w:type="paragraph" w:styleId="Contents8" w:customStyle="1">
    <w:name w:val="Contents 8"/>
    <w:basedOn w:val="Standard"/>
    <w:next w:val="Standard"/>
    <w:qFormat/>
    <w:pPr>
      <w:ind w:left="168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7" w:customStyle="1">
    <w:name w:val="Contents 7"/>
    <w:basedOn w:val="Standard"/>
    <w:next w:val="Standard"/>
    <w:qFormat/>
    <w:pPr>
      <w:ind w:left="140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6" w:customStyle="1">
    <w:name w:val="Contents 6"/>
    <w:basedOn w:val="Standard"/>
    <w:next w:val="Standard"/>
    <w:qFormat/>
    <w:pPr>
      <w:ind w:left="112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Endnote" w:customStyle="1">
    <w:name w:val="Endnote"/>
    <w:basedOn w:val="Standard"/>
    <w:link w:val="Style16"/>
    <w:qFormat/>
    <w:pPr/>
    <w:rPr>
      <w:sz w:val="20"/>
      <w:szCs w:val="20"/>
      <w:lang w:eastAsia="ru-RU"/>
    </w:rPr>
  </w:style>
  <w:style w:type="paragraph" w:styleId="311" w:customStyle="1">
    <w:name w:val="Список 31"/>
    <w:basedOn w:val="Standard"/>
    <w:qFormat/>
    <w:pPr>
      <w:spacing w:before="120" w:after="0"/>
      <w:jc w:val="both"/>
    </w:pPr>
    <w:rPr>
      <w:rFonts w:ascii="Garamond" w:hAnsi="Garamond" w:eastAsia="Garamond" w:cs="Garamond"/>
      <w:szCs w:val="20"/>
      <w:lang w:eastAsia="ru-RU"/>
    </w:rPr>
  </w:style>
  <w:style w:type="paragraph" w:styleId="ContentsHeading" w:customStyle="1">
    <w:name w:val="Contents Heading"/>
    <w:basedOn w:val="Heading1"/>
    <w:next w:val="Standard"/>
    <w:qFormat/>
    <w:pPr>
      <w:keepLines/>
      <w:tabs>
        <w:tab w:val="clear" w:pos="0"/>
        <w:tab w:val="left" w:pos="3905" w:leader="none"/>
      </w:tabs>
      <w:spacing w:before="480" w:after="120"/>
      <w:ind w:left="3196" w:hanging="360"/>
    </w:pPr>
    <w:rPr>
      <w:rFonts w:ascii="Cambria" w:hAnsi="Cambria" w:eastAsia="Cambria" w:cs="Cambria"/>
      <w:bCs/>
      <w:color w:val="365F91"/>
    </w:rPr>
  </w:style>
  <w:style w:type="paragraph" w:styleId="Contents4" w:customStyle="1">
    <w:name w:val="Contents 4"/>
    <w:basedOn w:val="Standard"/>
    <w:next w:val="Standard"/>
    <w:qFormat/>
    <w:pPr>
      <w:ind w:left="560" w:hanging="0"/>
    </w:pPr>
    <w:rPr>
      <w:rFonts w:cs="Calibri"/>
      <w:sz w:val="20"/>
      <w:szCs w:val="20"/>
      <w:lang w:eastAsia="ru-RU"/>
    </w:rPr>
  </w:style>
  <w:style w:type="paragraph" w:styleId="Contents5" w:customStyle="1">
    <w:name w:val="Contents 5"/>
    <w:basedOn w:val="Standard"/>
    <w:next w:val="Standard"/>
    <w:qFormat/>
    <w:pPr>
      <w:ind w:left="84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9" w:customStyle="1">
    <w:name w:val="Contents 9"/>
    <w:basedOn w:val="Standard"/>
    <w:next w:val="Standard"/>
    <w:qFormat/>
    <w:pPr>
      <w:ind w:left="196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2" w:customStyle="1">
    <w:name w:val="Contents 2"/>
    <w:basedOn w:val="Standard"/>
    <w:next w:val="Standard"/>
    <w:qFormat/>
    <w:pPr>
      <w:spacing w:before="240" w:after="0"/>
    </w:pPr>
    <w:rPr>
      <w:rFonts w:cs="Calibri"/>
      <w:b/>
      <w:bCs/>
      <w:sz w:val="20"/>
      <w:szCs w:val="20"/>
      <w:lang w:eastAsia="ru-RU"/>
    </w:rPr>
  </w:style>
  <w:style w:type="paragraph" w:styleId="Contents3" w:customStyle="1">
    <w:name w:val="Contents 3"/>
    <w:basedOn w:val="Standard"/>
    <w:next w:val="Standard"/>
    <w:qFormat/>
    <w:pPr>
      <w:ind w:left="280" w:hanging="0"/>
    </w:pPr>
    <w:rPr>
      <w:rFonts w:cs="Calibri"/>
      <w:sz w:val="20"/>
      <w:szCs w:val="20"/>
      <w:lang w:eastAsia="ru-RU"/>
    </w:rPr>
  </w:style>
  <w:style w:type="paragraph" w:styleId="Contents1" w:customStyle="1">
    <w:name w:val="Contents 1"/>
    <w:basedOn w:val="Standard"/>
    <w:next w:val="Standard"/>
    <w:qFormat/>
    <w:pPr>
      <w:spacing w:before="120" w:after="0"/>
    </w:pPr>
    <w:rPr>
      <w:rFonts w:cs="Calibri Light (Заголовки)"/>
      <w:b/>
      <w:bCs/>
      <w:szCs w:val="24"/>
      <w:lang w:eastAsia="ru-RU"/>
    </w:rPr>
  </w:style>
  <w:style w:type="paragraph" w:styleId="Textbodyindent" w:customStyle="1">
    <w:name w:val="Text body indent"/>
    <w:basedOn w:val="Standard"/>
    <w:link w:val="Style4"/>
    <w:qFormat/>
    <w:pPr>
      <w:ind w:left="360" w:hanging="0"/>
    </w:pPr>
    <w:rPr>
      <w:szCs w:val="24"/>
      <w:lang w:eastAsia="ru-RU"/>
    </w:rPr>
  </w:style>
  <w:style w:type="paragraph" w:styleId="Footnote" w:customStyle="1">
    <w:name w:val="Footnote"/>
    <w:basedOn w:val="Standard"/>
    <w:link w:val="Style1"/>
    <w:qFormat/>
    <w:pPr/>
    <w:rPr>
      <w:sz w:val="20"/>
      <w:szCs w:val="20"/>
      <w:lang w:eastAsia="ru-RU"/>
    </w:rPr>
  </w:style>
  <w:style w:type="paragraph" w:styleId="Textbody" w:customStyle="1">
    <w:name w:val="Text body"/>
    <w:basedOn w:val="Standard"/>
    <w:link w:val="Style6"/>
    <w:qFormat/>
    <w:pPr>
      <w:spacing w:before="0" w:after="120"/>
    </w:pPr>
    <w:rPr>
      <w:sz w:val="28"/>
      <w:szCs w:val="28"/>
      <w:lang w:eastAsia="ru-RU"/>
    </w:rPr>
  </w:style>
  <w:style w:type="paragraph" w:styleId="113" w:customStyle="1">
    <w:name w:val="Указатель1"/>
    <w:basedOn w:val="114"/>
    <w:qFormat/>
    <w:pPr/>
    <w:rPr/>
  </w:style>
  <w:style w:type="paragraph" w:styleId="114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exheading2" w:customStyle="1">
    <w:name w:val="index heading2"/>
    <w:basedOn w:val="114"/>
    <w:qFormat/>
    <w:pPr>
      <w:suppressLineNumbers/>
    </w:pPr>
    <w:rPr>
      <w:b/>
      <w:bCs/>
      <w:sz w:val="32"/>
      <w:szCs w:val="32"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Стиль1"/>
    <w:uiPriority w:val="99"/>
    <w:qFormat/>
    <w:rsid w:val="00cd6e45"/>
  </w:style>
  <w:style w:type="numbering" w:styleId="213" w:customStyle="1">
    <w:name w:val="Стиль2"/>
    <w:uiPriority w:val="99"/>
    <w:qFormat/>
    <w:rsid w:val="00cd6e45"/>
  </w:style>
  <w:style w:type="numbering" w:styleId="116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2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D21F-DA22-442B-9A4C-86B82472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AlterOffice/3.4.0.9$Linux_X86_64 LibreOffice_project/b8daf9e823b1a5463a2f48435ddc2e8696e7d4fc</Application>
  <AppVersion>15.0000</AppVersion>
  <Pages>7</Pages>
  <Words>1711</Words>
  <Characters>10698</Characters>
  <CharactersWithSpaces>12048</CharactersWithSpaces>
  <Paragraphs>373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2025-12-18T05:42:00Z</dcterms:created>
  <dc:creator>Егоров Виктор Викторович</dc:creator>
  <dc:description/>
  <dc:language>ru-RU</dc:language>
  <cp:lastModifiedBy>kochetovsv@corp.gidroogk.com</cp:lastModifiedBy>
  <cp:lastPrinted>2024-02-06T07:29:00Z</cp:lastPrinted>
  <dcterms:modified xsi:type="dcterms:W3CDTF">2026-06-02T11:37:08Z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