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oter6.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styles.xml" ContentType="application/vnd.openxmlformats-officedocument.wordprocessingml.styles+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партиями согласно Календарному графику поставки (</w:t>
      </w:r>
      <w:r>
        <w:rPr>
          <w:sz w:val="24"/>
        </w:rPr>
        <w:t>Приложение № 2</w:t>
      </w:r>
      <w:r>
        <w:rPr>
          <w:b w:val="false"/>
          <w:sz w:val="24"/>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 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rPr>
        <w:t>согласно Календарному графику поставки (Приложение № 2)</w:t>
      </w:r>
      <w:r>
        <w:rPr>
          <w:sz w:val="24"/>
          <w:szCs w:val="24"/>
        </w:rPr>
        <w:t xml:space="preserve">.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а также стоимость партии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(тридцати процентов) от стоимости первой партии Продукции, согласно Спецификации (Приложение № 1) и Календарному графику поставки (Приложение № 2), выплачивается в течение 30 (тридцати) календарных дней с даты получения Покупателем счета, выставленного Поставщиком, но не ранее 30 (тридцати) календарных дней до даты поставки первой партии Продукции, с учетом п. 2.6. Договора. Авансовый платеж засчитывается в счет оплаты соответствующей партии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Авансовые платежи в размере 30% (тридцати процентов) от стоимости последующих партий Продукции, согласно Спецификации (Приложение № 1) и Календарному графику поставки (Приложение № 2), выплачиваются в течение 30 (тридцати) календарных дней с даты получения счета, выставленного Поставщиком, но не ранее 30 (тридцати) календарных дней до даты поставки соответствующей партии Продукции согласно Календарному графику поставки (Приложение № 2). Авансовый платеж засчитывается в счет оплаты соответствующей партии Продукции с учетом п. 2.6.</w:t>
      </w:r>
    </w:p>
    <w:p>
      <w:pPr>
        <w:pStyle w:val="Normal"/>
        <w:shd w:val="clear" w:color="auto" w:fill="FFFFFF"/>
        <w:tabs>
          <w:tab w:val="clear" w:pos="720"/>
          <w:tab w:val="left" w:pos="567" w:leader="none"/>
          <w:tab w:val="left" w:pos="1440" w:leader="none"/>
        </w:tabs>
        <w:spacing w:before="0" w:after="120"/>
        <w:ind w:firstLine="567"/>
        <w:jc w:val="both"/>
        <w:rPr>
          <w:sz w:val="24"/>
          <w:szCs w:val="24"/>
        </w:rPr>
      </w:pPr>
      <w:r>
        <w:rPr>
          <w:sz w:val="24"/>
          <w:szCs w:val="24"/>
        </w:rPr>
        <w:t xml:space="preserve">2.5.3. Платеж в размере 60% (шестьдесят процентов) от стоимости поставленной партии Продукции, согласно Спецификации (Приложение № 1) и Календарного графика поставки (Приложение № 2),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получения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ind w:firstLine="567"/>
        <w:jc w:val="both"/>
        <w:rPr>
          <w:sz w:val="24"/>
          <w:szCs w:val="24"/>
        </w:rPr>
      </w:pPr>
      <w:r>
        <w:rPr>
          <w:sz w:val="24"/>
          <w:szCs w:val="24"/>
        </w:rPr>
        <w:t xml:space="preserve">2.5.4. Обеспечительный платеж в размере 10% (десять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Normal"/>
        <w:shd w:val="clear" w:color="auto" w:fill="FFFFFF"/>
        <w:tabs>
          <w:tab w:val="clear" w:pos="720"/>
          <w:tab w:val="left" w:pos="567" w:leader="none"/>
          <w:tab w:val="left" w:pos="1440" w:leader="none"/>
        </w:tabs>
        <w:spacing w:before="0" w:after="120"/>
        <w:ind w:firstLine="567"/>
        <w:jc w:val="both"/>
        <w:rPr>
          <w:sz w:val="24"/>
          <w:szCs w:val="24"/>
          <w:highlight w:val="yellow"/>
        </w:rPr>
      </w:pPr>
      <w:r>
        <w:rPr>
          <w:sz w:val="24"/>
          <w:szCs w:val="24"/>
          <w:highlight w:val="yellow"/>
        </w:rPr>
        <w:t>2.5.5. 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highlight w:val="yellow"/>
          <w:vertAlign w:val="superscript"/>
        </w:rPr>
        <w:t xml:space="preserve"> </w:t>
      </w:r>
      <w:r>
        <w:rPr>
          <w:sz w:val="24"/>
          <w:szCs w:val="24"/>
          <w:highlight w:val="yellow"/>
        </w:rPr>
        <w:t>в виде банковской гарантии, оформленной в соответствии с требованиями Приложения № 3 к Договору.</w:t>
      </w:r>
    </w:p>
    <w:p>
      <w:pPr>
        <w:pStyle w:val="Normal"/>
        <w:shd w:val="clear" w:color="auto" w:fill="FFFFFF"/>
        <w:tabs>
          <w:tab w:val="clear" w:pos="720"/>
          <w:tab w:val="left" w:pos="567" w:leader="none"/>
          <w:tab w:val="left" w:pos="1440" w:leader="none"/>
        </w:tabs>
        <w:spacing w:before="0" w:after="120"/>
        <w:jc w:val="both"/>
        <w:rPr>
          <w:sz w:val="24"/>
          <w:szCs w:val="24"/>
          <w:highlight w:val="yellow"/>
        </w:rPr>
      </w:pPr>
      <w:r>
        <w:rPr>
          <w:sz w:val="24"/>
          <w:szCs w:val="24"/>
          <w:highlight w:val="yellow"/>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sz w:val="24"/>
          <w:szCs w:val="24"/>
          <w:highlight w:val="yellow"/>
        </w:rPr>
      </w:pPr>
      <w:r>
        <w:rPr>
          <w:sz w:val="24"/>
          <w:szCs w:val="24"/>
          <w:highlight w:val="yellow"/>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spacing w:before="0" w:after="120"/>
        <w:ind w:firstLine="567"/>
        <w:jc w:val="both"/>
        <w:rPr>
          <w:sz w:val="24"/>
          <w:szCs w:val="24"/>
        </w:rPr>
      </w:pPr>
      <w:r>
        <w:rPr>
          <w:sz w:val="24"/>
          <w:szCs w:val="24"/>
          <w:highlight w:val="yellow"/>
        </w:rPr>
        <w:t>За не предоставление либо несвоевременное предоставление/ переоформление Поставщиком банковской гарантии, предусмотренной Договором, Покупатель вправе потребовать уплаты Поставщиком неустойки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highlight w:val="green"/>
        </w:rPr>
        <w:t>Оплата производится в валюте Российской Федерации на обособленный банковский счет в ПАО Сбербанк, открываемый Поставщиком в соответствии с п. 2.13 Договора.</w:t>
      </w:r>
      <w:r>
        <w:rPr>
          <w:sz w:val="24"/>
          <w:szCs w:val="24"/>
        </w:rPr>
        <w:t xml:space="preserve">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Pr>
          <w:sz w:val="24"/>
          <w:szCs w:val="24"/>
          <w:highlight w:val="yellow"/>
        </w:rPr>
        <w:t>календарных</w:t>
      </w:r>
      <w:r>
        <w:rPr>
          <w:sz w:val="24"/>
          <w:szCs w:val="24"/>
        </w:rPr>
        <w:t xml:space="preserve">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green"/>
        </w:rPr>
      </w:pPr>
      <w:r>
        <w:rPr>
          <w:sz w:val="24"/>
          <w:szCs w:val="24"/>
          <w:highlight w:val="green"/>
        </w:rPr>
        <w:t>Поставщик обязан в течение 3 (трех) рабочих дней с даты заключения Договора открыть обособленный банковский счет (далее – ОБС) в ПАО Сбербанк, используемый исключительно для расчетов между Поставщиком и Покупателем по Договору, а также обеспечить аналогичную обязанность организаций по всем уровням кооперации, за исключением мелких закупок (менее 2 500 000,00 рублей, без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green"/>
        </w:rPr>
      </w:pPr>
      <w:r>
        <w:rPr>
          <w:sz w:val="24"/>
          <w:szCs w:val="24"/>
          <w:highlight w:val="green"/>
        </w:rPr>
        <w:t>Поставщик обязан предоставить полномочия (права) ПАО Сбербанк сообщать любую информацию Покупателю о ходе исполнения Договора, о наличии, статусе, движении денежных средств по счетам Поставщика, открытым в ПАО Сбербанк, а также предусмотреть аналогичные обязанности при заключении договоров между организациями по всем уровням кооперации.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green"/>
        </w:rPr>
      </w:pPr>
      <w:r>
        <w:rPr>
          <w:sz w:val="24"/>
          <w:szCs w:val="24"/>
          <w:highlight w:val="green"/>
        </w:rPr>
        <w:t>Поставщик обязан в течение 5 (пяти) рабочих дней с даты заключения Договора передать ПАО Сбербанк письменное полномочие (право) на предоставление сведений, а также предусмотреть аналогичные обязанности при заключении договоров между организациями по всем уровням кооперации.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highlight w:val="green"/>
        </w:rPr>
        <w:t>Поставщик обязан по письменному требованию ПАО Сбербанк предоставлять сведения и документы, составленные по формам, не противоречащим законодательству РФ, установленным договором ОБС и подтверждающие факт установления гражданских прав и обязанностей, выполнения работ/услуг, связанных с исполнением государственных контрактов, необходимых для осуществления ПАО Сбербанк мониторинга и контроля целевого назначения использования денежных средств на ОБС и/или осуществления ПАО Сбербанк других функций агента по сопровождению государственных контрактов, а также предусмотреть аналогичные обязанности при заключении договоров между организациями по всем уровням кооперации.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(каждую партию отгруженной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о происхождении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партиями в соответствии с Календарным графиком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bCs/>
          <w:sz w:val="24"/>
          <w:szCs w:val="24"/>
          <w:lang w:eastAsia="x-none"/>
        </w:rPr>
        <w:t>Покупатель вправе в одностороннем порядке, не позднее чем за 30 (тридцать)  календарных дней до даты поставки соответствующей партии</w:t>
      </w:r>
      <w:r>
        <w:rPr>
          <w:sz w:val="24"/>
          <w:szCs w:val="24"/>
        </w:rPr>
        <w:t xml:space="preserve"> Продукции</w:t>
      </w:r>
      <w:r>
        <w:rPr>
          <w:bCs/>
          <w:sz w:val="24"/>
          <w:szCs w:val="24"/>
          <w:lang w:eastAsia="x-none"/>
        </w:rPr>
        <w:t>, исключить (уменьшить) часть Продукции. Данные изменения будут оформлены дополнительным соглашением к Договору.</w:t>
      </w:r>
      <w:r>
        <w:rPr>
          <w:sz w:val="24"/>
          <w:szCs w:val="24"/>
        </w:rPr>
        <w:t xml:space="preserve">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Pr>
          <w:sz w:val="24"/>
          <w:szCs w:val="24"/>
        </w:rPr>
        <w:t xml:space="preserve">. </w:t>
      </w:r>
    </w:p>
    <w:p>
      <w:pPr>
        <w:pStyle w:val="Normal"/>
        <w:widowControl w:val="false"/>
        <w:numPr>
          <w:ilvl w:val="1"/>
          <w:numId w:val="6"/>
        </w:numPr>
        <w:tabs>
          <w:tab w:val="clear" w:pos="720"/>
          <w:tab w:val="left" w:pos="993" w:leader="none"/>
          <w:tab w:val="left" w:pos="1276" w:leader="none"/>
        </w:tabs>
        <w:spacing w:before="0" w:after="120"/>
        <w:ind w:left="0" w:firstLine="567"/>
        <w:jc w:val="both"/>
        <w:rPr>
          <w:sz w:val="24"/>
          <w:szCs w:val="24"/>
          <w:highlight w:val="yellow"/>
        </w:rPr>
      </w:pPr>
      <w:r>
        <w:rPr>
          <w:sz w:val="24"/>
          <w:szCs w:val="24"/>
          <w:highlight w:val="yellow"/>
        </w:rPr>
        <w:t xml:space="preserve">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 </w:t>
      </w:r>
    </w:p>
    <w:p>
      <w:pPr>
        <w:pStyle w:val="Normal"/>
        <w:tabs>
          <w:tab w:val="clear" w:pos="720"/>
          <w:tab w:val="left" w:pos="1134" w:leader="none"/>
        </w:tabs>
        <w:jc w:val="both"/>
        <w:rPr>
          <w:rFonts w:eastAsia="Calibri"/>
          <w:bCs/>
          <w:sz w:val="24"/>
          <w:szCs w:val="24"/>
          <w:highlight w:val="yellow"/>
        </w:rPr>
      </w:pPr>
      <w:r>
        <w:rPr>
          <w:rFonts w:eastAsia="Calibri"/>
          <w:bCs/>
          <w:sz w:val="24"/>
          <w:szCs w:val="24"/>
          <w:highlight w:val="yellow"/>
        </w:rPr>
        <w:tab/>
        <w:t>- неустойки в размере 0,1 (ноль целых и одна десятая) процента от цены партии Продукции, за каждый день просрочки поставки Продукции;</w:t>
      </w:r>
    </w:p>
    <w:p>
      <w:pPr>
        <w:pStyle w:val="Normal"/>
        <w:tabs>
          <w:tab w:val="clear" w:pos="720"/>
          <w:tab w:val="left" w:pos="1134" w:leader="none"/>
        </w:tabs>
        <w:jc w:val="both"/>
        <w:rPr>
          <w:rFonts w:eastAsia="Calibri"/>
          <w:bCs/>
          <w:sz w:val="24"/>
          <w:szCs w:val="24"/>
          <w:highlight w:val="yellow"/>
        </w:rPr>
      </w:pPr>
      <w:r>
        <w:rPr>
          <w:rFonts w:eastAsia="Calibri"/>
          <w:bCs/>
          <w:sz w:val="24"/>
          <w:szCs w:val="24"/>
          <w:highlight w:val="yellow"/>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widowControl w:val="false"/>
        <w:tabs>
          <w:tab w:val="clear" w:pos="720"/>
          <w:tab w:val="left" w:pos="1276" w:leader="none"/>
        </w:tabs>
        <w:spacing w:before="0" w:after="120"/>
        <w:jc w:val="both"/>
        <w:rPr>
          <w:sz w:val="24"/>
          <w:szCs w:val="24"/>
          <w:highlight w:val="yellow"/>
        </w:rPr>
      </w:pPr>
      <w:r>
        <w:rPr>
          <w:rFonts w:eastAsia="Calibri"/>
          <w:bCs/>
          <w:sz w:val="24"/>
          <w:szCs w:val="24"/>
          <w:highlight w:val="yellow"/>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r>
        <w:rPr>
          <w:sz w:val="24"/>
          <w:szCs w:val="24"/>
          <w:highlight w:val="yellow"/>
        </w:rPr>
        <w:tab/>
      </w:r>
    </w:p>
    <w:p>
      <w:pPr>
        <w:pStyle w:val="Normal"/>
        <w:widowControl w:val="false"/>
        <w:shd w:val="clear" w:color="auto" w:fill="FFFFFF"/>
        <w:tabs>
          <w:tab w:val="clear" w:pos="720"/>
          <w:tab w:val="left" w:pos="1276" w:leader="none"/>
        </w:tabs>
        <w:spacing w:before="0" w:after="120"/>
        <w:jc w:val="both"/>
        <w:rPr>
          <w:sz w:val="24"/>
          <w:szCs w:val="24"/>
        </w:rPr>
      </w:pPr>
      <w:r>
        <w:rPr>
          <w:sz w:val="24"/>
          <w:szCs w:val="24"/>
          <w:highlight w:val="yellow"/>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Pr>
          <w:sz w:val="24"/>
          <w:szCs w:val="24"/>
        </w:rPr>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w:t>
      </w:r>
      <w:r>
        <w:rPr>
          <w:sz w:val="24"/>
          <w:szCs w:val="24"/>
          <w:highlight w:val="yellow"/>
        </w:rPr>
        <w:t>города Москвы</w:t>
      </w:r>
      <w:r>
        <w:rPr>
          <w:sz w:val="24"/>
          <w:szCs w:val="24"/>
        </w:rPr>
        <w:t>.</w:t>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spacing w:before="0" w:after="120"/>
        <w:ind w:left="567" w:hanging="0"/>
        <w:jc w:val="both"/>
        <w:rPr>
          <w:bCs/>
          <w:sz w:val="24"/>
          <w:szCs w:val="24"/>
        </w:rPr>
      </w:pPr>
      <w:r>
        <w:rPr>
          <w:bCs/>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3" w:name="sub_1"/>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2 – Календарный график поставки.</w:t>
      </w:r>
    </w:p>
    <w:p>
      <w:pPr>
        <w:pStyle w:val="Normal"/>
        <w:rPr/>
      </w:pPr>
      <w:r>
        <w:rPr>
          <w:sz w:val="24"/>
          <w:szCs w:val="24"/>
        </w:rPr>
        <w:t xml:space="preserve">          </w:t>
      </w:r>
      <w:r>
        <w:rPr>
          <w:sz w:val="24"/>
          <w:szCs w:val="24"/>
        </w:rPr>
        <w:t>- Приложение № 3</w:t>
      </w:r>
      <w:r>
        <w:rPr>
          <w:b/>
          <w:sz w:val="24"/>
          <w:szCs w:val="24"/>
        </w:rPr>
        <w:t xml:space="preserve"> </w:t>
      </w:r>
      <w:r>
        <w:rPr>
          <w:sz w:val="24"/>
          <w:szCs w:val="24"/>
        </w:rPr>
        <w:t>– Финансовое обеспечение исполнения обязательств.</w:t>
      </w:r>
    </w:p>
    <w:p>
      <w:pPr>
        <w:pStyle w:val="Normal"/>
        <w:spacing w:before="0" w:after="120"/>
        <w:ind w:left="567" w:hanging="567"/>
        <w:rPr>
          <w:sz w:val="24"/>
          <w:szCs w:val="24"/>
        </w:rPr>
      </w:pPr>
      <w:bookmarkStart w:id="4" w:name="sub_1"/>
      <w:r>
        <w:rPr>
          <w:sz w:val="24"/>
          <w:szCs w:val="24"/>
        </w:rPr>
        <w:tab/>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4"/>
                <w:szCs w:val="24"/>
              </w:rPr>
            </w:pPr>
            <w:r>
              <w:rPr>
                <w:b/>
                <w:sz w:val="24"/>
                <w:szCs w:val="24"/>
              </w:rPr>
              <w:t>АО «Гидроремонт-ВКК»</w:t>
            </w:r>
          </w:p>
          <w:p>
            <w:pPr>
              <w:pStyle w:val="Normal"/>
              <w:widowControl w:val="false"/>
              <w:rPr>
                <w:sz w:val="24"/>
                <w:szCs w:val="24"/>
              </w:rPr>
            </w:pPr>
            <w:r>
              <w:rPr>
                <w:sz w:val="24"/>
                <w:szCs w:val="24"/>
              </w:rPr>
              <w:t>Юридический адрес: 119421, город Москва, улица Новаторов, дом 1</w:t>
            </w:r>
          </w:p>
          <w:p>
            <w:pPr>
              <w:pStyle w:val="Normal"/>
              <w:widowControl w:val="false"/>
              <w:rPr>
                <w:sz w:val="24"/>
                <w:szCs w:val="24"/>
              </w:rPr>
            </w:pPr>
            <w:r>
              <w:rPr>
                <w:sz w:val="24"/>
                <w:szCs w:val="24"/>
              </w:rPr>
              <w:t>Саяно-Шушенский филиал</w:t>
            </w:r>
          </w:p>
          <w:p>
            <w:pPr>
              <w:pStyle w:val="Normal"/>
              <w:widowControl w:val="false"/>
              <w:rPr>
                <w:sz w:val="24"/>
                <w:szCs w:val="24"/>
              </w:rPr>
            </w:pPr>
            <w:r>
              <w:rPr>
                <w:sz w:val="24"/>
                <w:szCs w:val="24"/>
              </w:rPr>
              <w:t>АО "Гидроремонт-ВКК" в п. Черемушки</w:t>
            </w:r>
          </w:p>
          <w:p>
            <w:pPr>
              <w:pStyle w:val="Normal"/>
              <w:widowControl w:val="false"/>
              <w:rPr>
                <w:sz w:val="24"/>
                <w:szCs w:val="24"/>
              </w:rPr>
            </w:pPr>
            <w:r>
              <w:rPr>
                <w:sz w:val="24"/>
                <w:szCs w:val="24"/>
              </w:rPr>
              <w:t>Место нахождения: 655619, Российская</w:t>
            </w:r>
          </w:p>
          <w:p>
            <w:pPr>
              <w:pStyle w:val="Normal"/>
              <w:widowControl w:val="false"/>
              <w:rPr>
                <w:sz w:val="24"/>
                <w:szCs w:val="24"/>
              </w:rPr>
            </w:pPr>
            <w:r>
              <w:rPr>
                <w:sz w:val="24"/>
                <w:szCs w:val="24"/>
              </w:rPr>
              <w:t>Федерация, Республика Хакасия,</w:t>
            </w:r>
          </w:p>
          <w:p>
            <w:pPr>
              <w:pStyle w:val="Normal"/>
              <w:widowControl w:val="false"/>
              <w:rPr>
                <w:sz w:val="24"/>
                <w:szCs w:val="24"/>
              </w:rPr>
            </w:pPr>
            <w:r>
              <w:rPr>
                <w:sz w:val="24"/>
                <w:szCs w:val="24"/>
              </w:rPr>
              <w:t>г. Саяногорск, рп. Черемушки, д.103</w:t>
            </w:r>
          </w:p>
          <w:p>
            <w:pPr>
              <w:pStyle w:val="Normal"/>
              <w:widowControl w:val="false"/>
              <w:rPr>
                <w:sz w:val="24"/>
                <w:szCs w:val="24"/>
              </w:rPr>
            </w:pPr>
            <w:r>
              <w:rPr>
                <w:sz w:val="24"/>
                <w:szCs w:val="24"/>
              </w:rPr>
              <w:t>Почтовый адрес: 655619, Российская Федерация, Республика Хакасия,</w:t>
            </w:r>
          </w:p>
          <w:p>
            <w:pPr>
              <w:pStyle w:val="Normal"/>
              <w:widowControl w:val="false"/>
              <w:rPr>
                <w:sz w:val="24"/>
                <w:szCs w:val="24"/>
              </w:rPr>
            </w:pPr>
            <w:r>
              <w:rPr>
                <w:sz w:val="24"/>
                <w:szCs w:val="24"/>
              </w:rPr>
              <w:t>г. Саяногорск, рп. Черемушки, д. 103, а/я 31</w:t>
            </w:r>
          </w:p>
          <w:p>
            <w:pPr>
              <w:pStyle w:val="Normal"/>
              <w:widowControl w:val="false"/>
              <w:rPr>
                <w:sz w:val="24"/>
                <w:szCs w:val="24"/>
              </w:rPr>
            </w:pPr>
            <w:r>
              <w:rPr>
                <w:sz w:val="24"/>
                <w:szCs w:val="24"/>
              </w:rPr>
              <w:t>ИНН 6345012488 КПП 190243001</w:t>
            </w:r>
          </w:p>
          <w:p>
            <w:pPr>
              <w:pStyle w:val="Normal"/>
              <w:widowControl w:val="false"/>
              <w:rPr>
                <w:sz w:val="24"/>
                <w:szCs w:val="24"/>
              </w:rPr>
            </w:pPr>
            <w:r>
              <w:rPr>
                <w:sz w:val="24"/>
                <w:szCs w:val="24"/>
              </w:rPr>
              <w:t>ОГРН 1036301733005 ОКПО 23337446</w:t>
            </w:r>
          </w:p>
          <w:p>
            <w:pPr>
              <w:pStyle w:val="Normal"/>
              <w:widowControl w:val="false"/>
              <w:rPr>
                <w:sz w:val="24"/>
                <w:szCs w:val="24"/>
              </w:rPr>
            </w:pPr>
            <w:r>
              <w:rPr>
                <w:sz w:val="24"/>
                <w:szCs w:val="24"/>
              </w:rPr>
              <w:t>Плательщик: Саяно-Шушенский филиал</w:t>
            </w:r>
          </w:p>
          <w:p>
            <w:pPr>
              <w:pStyle w:val="Normal"/>
              <w:widowControl w:val="false"/>
              <w:rPr>
                <w:sz w:val="24"/>
                <w:szCs w:val="24"/>
              </w:rPr>
            </w:pPr>
            <w:r>
              <w:rPr>
                <w:sz w:val="24"/>
                <w:szCs w:val="24"/>
              </w:rPr>
              <w:t>АО «Гидроремонт-ВКК» в п. Черемушки</w:t>
            </w:r>
          </w:p>
          <w:p>
            <w:pPr>
              <w:pStyle w:val="Normal"/>
              <w:widowControl w:val="false"/>
              <w:rPr>
                <w:sz w:val="24"/>
                <w:szCs w:val="24"/>
                <w:highlight w:val="green"/>
              </w:rPr>
            </w:pPr>
            <w:r>
              <w:rPr>
                <w:sz w:val="24"/>
                <w:szCs w:val="24"/>
                <w:highlight w:val="green"/>
              </w:rPr>
              <w:t>Р/с: 40702810871000000312</w:t>
            </w:r>
          </w:p>
          <w:p>
            <w:pPr>
              <w:pStyle w:val="Normal"/>
              <w:widowControl w:val="false"/>
              <w:rPr>
                <w:sz w:val="24"/>
                <w:szCs w:val="24"/>
                <w:highlight w:val="green"/>
              </w:rPr>
            </w:pPr>
            <w:r>
              <w:rPr>
                <w:sz w:val="24"/>
                <w:szCs w:val="24"/>
                <w:highlight w:val="green"/>
              </w:rPr>
              <w:t>Абаканское отделение №8602</w:t>
            </w:r>
          </w:p>
          <w:p>
            <w:pPr>
              <w:pStyle w:val="Normal"/>
              <w:widowControl w:val="false"/>
              <w:rPr>
                <w:sz w:val="24"/>
                <w:szCs w:val="24"/>
                <w:highlight w:val="green"/>
              </w:rPr>
            </w:pPr>
            <w:r>
              <w:rPr>
                <w:sz w:val="24"/>
                <w:szCs w:val="24"/>
                <w:highlight w:val="green"/>
              </w:rPr>
              <w:t>ПАО Сбербанк</w:t>
            </w:r>
          </w:p>
          <w:p>
            <w:pPr>
              <w:pStyle w:val="Normal"/>
              <w:widowControl w:val="false"/>
              <w:rPr>
                <w:sz w:val="24"/>
                <w:szCs w:val="24"/>
                <w:highlight w:val="green"/>
              </w:rPr>
            </w:pPr>
            <w:r>
              <w:rPr>
                <w:sz w:val="24"/>
                <w:szCs w:val="24"/>
                <w:highlight w:val="green"/>
              </w:rPr>
              <w:t>К/с: 30101810500000000608</w:t>
            </w:r>
          </w:p>
          <w:p>
            <w:pPr>
              <w:pStyle w:val="Normal"/>
              <w:widowControl w:val="false"/>
              <w:rPr>
                <w:sz w:val="24"/>
                <w:szCs w:val="24"/>
              </w:rPr>
            </w:pPr>
            <w:r>
              <w:rPr>
                <w:sz w:val="24"/>
                <w:szCs w:val="24"/>
                <w:highlight w:val="green"/>
              </w:rPr>
              <w:t>БИК: 049514608</w:t>
            </w:r>
          </w:p>
          <w:p>
            <w:pPr>
              <w:pStyle w:val="Normal"/>
              <w:widowControl w:val="false"/>
              <w:rPr>
                <w:sz w:val="24"/>
                <w:szCs w:val="24"/>
              </w:rPr>
            </w:pPr>
            <w:r>
              <w:rPr>
                <w:sz w:val="24"/>
                <w:szCs w:val="24"/>
              </w:rPr>
              <w:t>Тел. контактного лица: 8 (39042) _________</w:t>
            </w:r>
          </w:p>
          <w:p>
            <w:pPr>
              <w:pStyle w:val="Normal"/>
              <w:widowControl w:val="false"/>
              <w:rPr>
                <w:sz w:val="24"/>
                <w:szCs w:val="24"/>
              </w:rPr>
            </w:pPr>
            <w:r>
              <w:rPr>
                <w:sz w:val="24"/>
                <w:szCs w:val="24"/>
              </w:rPr>
              <w:t>Тел. приемной: 8 (39042) 7-17-01</w:t>
            </w:r>
          </w:p>
          <w:p>
            <w:pPr>
              <w:pStyle w:val="Normal"/>
              <w:widowControl w:val="false"/>
              <w:rPr>
                <w:sz w:val="22"/>
                <w:szCs w:val="22"/>
              </w:rPr>
            </w:pPr>
            <w:r>
              <w:rPr>
                <w:sz w:val="24"/>
                <w:szCs w:val="24"/>
                <w:lang w:val="en-US"/>
              </w:rPr>
              <w:t>E</w:t>
            </w:r>
            <w:r>
              <w:rPr>
                <w:sz w:val="24"/>
                <w:szCs w:val="24"/>
              </w:rPr>
              <w:t>-</w:t>
            </w:r>
            <w:r>
              <w:rPr>
                <w:sz w:val="24"/>
                <w:szCs w:val="24"/>
                <w:lang w:val="en-US"/>
              </w:rPr>
              <w:t>mail</w:t>
            </w:r>
            <w:r>
              <w:rPr>
                <w:sz w:val="24"/>
                <w:szCs w:val="24"/>
              </w:rPr>
              <w:t xml:space="preserve">: </w:t>
            </w:r>
            <w:hyperlink r:id="rId5">
              <w:r>
                <w:rPr>
                  <w:rStyle w:val="Hyperlink"/>
                  <w:sz w:val="24"/>
                  <w:szCs w:val="24"/>
                  <w:lang w:val="en-US"/>
                </w:rPr>
                <w:t>sayany</w:t>
              </w:r>
              <w:r>
                <w:rPr>
                  <w:rStyle w:val="Hyperlink"/>
                  <w:sz w:val="24"/>
                  <w:szCs w:val="24"/>
                </w:rPr>
                <w:t>@</w:t>
              </w:r>
              <w:r>
                <w:rPr>
                  <w:rStyle w:val="Hyperlink"/>
                  <w:sz w:val="24"/>
                  <w:szCs w:val="24"/>
                  <w:lang w:val="en-US"/>
                </w:rPr>
                <w:t>rushydro</w:t>
              </w:r>
              <w:r>
                <w:rPr>
                  <w:rStyle w:val="Hyperlink"/>
                  <w:sz w:val="24"/>
                  <w:szCs w:val="24"/>
                </w:rPr>
                <w:t>.</w:t>
              </w:r>
              <w:r>
                <w:rPr>
                  <w:rStyle w:val="Hyperlink"/>
                  <w:sz w:val="24"/>
                  <w:szCs w:val="24"/>
                  <w:lang w:val="en-US"/>
                </w:rPr>
                <w:t>ru</w:t>
              </w:r>
            </w:hyperlink>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bookmarkStart w:id="5" w:name="_GoBack"/>
            <w:bookmarkStart w:id="6" w:name="_GoBack"/>
            <w:bookmarkEnd w:id="6"/>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6"/>
          <w:footerReference w:type="even" r:id="rId7"/>
          <w:footerReference w:type="default" r:id="rId8"/>
          <w:footerReference w:type="first" r:id="rId9"/>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Style w:val="BodyText"/>
        <w:spacing w:before="120" w:after="0"/>
        <w:ind w:firstLine="567"/>
        <w:jc w:val="right"/>
        <w:rPr>
          <w:b/>
          <w:bCs/>
          <w:color w:val="000000"/>
          <w:sz w:val="24"/>
          <w:szCs w:val="24"/>
        </w:rPr>
      </w:pPr>
      <w:r>
        <w:rPr>
          <w:b/>
          <w:bCs/>
          <w:color w:val="000000"/>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sz w:val="24"/>
          <w:szCs w:val="24"/>
        </w:rPr>
      </w:pPr>
      <w:r>
        <w:rPr>
          <w:b/>
          <w:sz w:val="24"/>
          <w:szCs w:val="24"/>
        </w:rPr>
        <w:t>Спецификация №__</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i/>
          <w:i/>
          <w:color w:val="FF0000"/>
          <w:sz w:val="22"/>
          <w:szCs w:val="22"/>
        </w:rPr>
      </w:pPr>
      <w:r>
        <w:rPr>
          <w:b/>
          <w:i/>
          <w:color w:val="FF0000"/>
          <w:sz w:val="22"/>
          <w:szCs w:val="22"/>
        </w:rPr>
      </w:r>
    </w:p>
    <w:tbl>
      <w:tblPr>
        <w:tblW w:w="10349"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568"/>
        <w:gridCol w:w="853"/>
        <w:gridCol w:w="563"/>
        <w:gridCol w:w="1560"/>
        <w:gridCol w:w="1560"/>
        <w:gridCol w:w="567"/>
        <w:gridCol w:w="567"/>
        <w:gridCol w:w="709"/>
        <w:gridCol w:w="1842"/>
        <w:gridCol w:w="1559"/>
      </w:tblGrid>
      <w:tr>
        <w:trPr>
          <w:trHeight w:val="510"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4"/>
              </w:rPr>
            </w:pPr>
            <w:r>
              <w:rPr>
                <w:sz w:val="24"/>
                <w:szCs w:val="24"/>
              </w:rPr>
              <w:t>Страна происхождения Продукции / цифровой код страны</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41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41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42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36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42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36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color w:val="1F497D"/>
          <w:sz w:val="24"/>
          <w:szCs w:val="24"/>
        </w:rPr>
      </w:pPr>
      <w:r>
        <w:rPr>
          <w:color w:val="1F497D"/>
          <w:sz w:val="24"/>
          <w:szCs w:val="24"/>
        </w:rPr>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Style w:val="Normal"/>
        <w:spacing w:before="0" w:after="120"/>
        <w:rPr>
          <w:sz w:val="22"/>
          <w:szCs w:val="22"/>
        </w:rPr>
      </w:pPr>
      <w:r>
        <w:rPr>
          <w:sz w:val="22"/>
          <w:szCs w:val="22"/>
        </w:rPr>
      </w:r>
      <w:r>
        <w:br w:type="page"/>
      </w:r>
    </w:p>
    <w:p>
      <w:pPr>
        <w:pStyle w:val="BodyText"/>
        <w:numPr>
          <w:ilvl w:val="0"/>
          <w:numId w:val="0"/>
        </w:numPr>
        <w:spacing w:before="0" w:after="120"/>
        <w:ind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firstLine="567"/>
        <w:jc w:val="center"/>
        <w:outlineLvl w:val="0"/>
        <w:rPr>
          <w:b/>
          <w:sz w:val="24"/>
          <w:szCs w:val="24"/>
          <w:u w:val="single"/>
        </w:rPr>
      </w:pPr>
      <w:r>
        <w:rPr>
          <w:b/>
          <w:sz w:val="24"/>
          <w:szCs w:val="24"/>
          <w:u w:val="single"/>
        </w:rPr>
      </w:r>
    </w:p>
    <w:p>
      <w:pPr>
        <w:pStyle w:val="Normal"/>
        <w:numPr>
          <w:ilvl w:val="0"/>
          <w:numId w:val="0"/>
        </w:numPr>
        <w:spacing w:before="0" w:after="120"/>
        <w:ind w:firstLine="567"/>
        <w:jc w:val="center"/>
        <w:outlineLvl w:val="0"/>
        <w:rPr>
          <w:b/>
          <w:sz w:val="24"/>
          <w:szCs w:val="24"/>
        </w:rPr>
      </w:pPr>
      <w:r>
        <w:rPr>
          <w:b/>
          <w:sz w:val="24"/>
          <w:szCs w:val="24"/>
        </w:rPr>
        <w:t>Календарный график поставки</w:t>
      </w:r>
    </w:p>
    <w:tbl>
      <w:tblPr>
        <w:tblW w:w="1003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39"/>
        <w:gridCol w:w="1621"/>
        <w:gridCol w:w="2427"/>
        <w:gridCol w:w="673"/>
        <w:gridCol w:w="776"/>
        <w:gridCol w:w="1918"/>
        <w:gridCol w:w="1676"/>
      </w:tblGrid>
      <w:tr>
        <w:trPr>
          <w:trHeight w:val="507" w:hRule="atLeast"/>
        </w:trPr>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2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r>
      <w:tr>
        <w:trPr>
          <w:trHeight w:val="520" w:hRule="atLeast"/>
        </w:trPr>
        <w:tc>
          <w:tcPr>
            <w:tcW w:w="9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242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0" w:hRule="atLeast"/>
        </w:trPr>
        <w:tc>
          <w:tcPr>
            <w:tcW w:w="9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242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Normal"/>
        <w:widowControl w:val="false"/>
        <w:tabs>
          <w:tab w:val="left" w:pos="720" w:leader="none"/>
        </w:tabs>
        <w:spacing w:before="0" w:after="120"/>
        <w:ind w:left="284" w:hanging="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mc:AlternateContent>
          <mc:Choice Requires="wps">
            <w:drawing>
              <wp:anchor behindDoc="0" distT="0" distB="19050" distL="0" distR="19050" simplePos="0" locked="0" layoutInCell="0" allowOverlap="1" relativeHeight="2" wp14:anchorId="2E285076">
                <wp:simplePos x="0" y="0"/>
                <wp:positionH relativeFrom="column">
                  <wp:posOffset>147955</wp:posOffset>
                </wp:positionH>
                <wp:positionV relativeFrom="paragraph">
                  <wp:posOffset>1155700</wp:posOffset>
                </wp:positionV>
                <wp:extent cx="5943600" cy="635"/>
                <wp:effectExtent l="6350" t="6985" r="6985" b="6350"/>
                <wp:wrapNone/>
                <wp:docPr id="7"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2E285076">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highlight w:val="yellow"/>
        </w:rPr>
      </w:pPr>
      <w:r>
        <w:rPr>
          <w:b/>
          <w:bCs/>
          <w:sz w:val="24"/>
          <w:szCs w:val="24"/>
          <w:highlight w:val="yellow"/>
        </w:rPr>
        <w:t>Приложение № 3</w:t>
      </w:r>
    </w:p>
    <w:p>
      <w:pPr>
        <w:pStyle w:val="BodyText"/>
        <w:spacing w:before="0" w:after="120"/>
        <w:ind w:firstLine="567"/>
        <w:jc w:val="right"/>
        <w:rPr>
          <w:bCs/>
          <w:sz w:val="24"/>
          <w:szCs w:val="24"/>
          <w:highlight w:val="yellow"/>
        </w:rPr>
      </w:pPr>
      <w:r>
        <w:rPr>
          <w:bCs/>
          <w:sz w:val="24"/>
          <w:szCs w:val="24"/>
          <w:highlight w:val="yellow"/>
        </w:rPr>
        <w:t xml:space="preserve">к договору поставки </w:t>
      </w:r>
    </w:p>
    <w:p>
      <w:pPr>
        <w:pStyle w:val="BodyText"/>
        <w:widowControl w:val="false"/>
        <w:jc w:val="right"/>
        <w:rPr>
          <w:bCs/>
          <w:sz w:val="24"/>
          <w:szCs w:val="24"/>
          <w:highlight w:val="yellow"/>
        </w:rPr>
      </w:pPr>
      <w:r>
        <w:rPr>
          <w:bCs/>
          <w:sz w:val="24"/>
          <w:szCs w:val="24"/>
          <w:highlight w:val="yellow"/>
        </w:rPr>
        <w:t xml:space="preserve">№ </w:t>
      </w:r>
      <w:r>
        <w:rPr>
          <w:sz w:val="24"/>
          <w:highlight w:val="yellow"/>
        </w:rPr>
        <w:t xml:space="preserve">____________ </w:t>
      </w:r>
      <w:r>
        <w:rPr>
          <w:bCs/>
          <w:sz w:val="24"/>
          <w:szCs w:val="24"/>
          <w:highlight w:val="yellow"/>
        </w:rPr>
        <w:t>от «___» _________ 2023</w:t>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Normal"/>
        <w:widowControl w:val="false"/>
        <w:shd w:val="clear" w:color="auto" w:fill="FFFFFF"/>
        <w:tabs>
          <w:tab w:val="clear" w:pos="720"/>
          <w:tab w:val="left" w:pos="3054" w:leader="none"/>
        </w:tabs>
        <w:spacing w:before="0" w:after="120"/>
        <w:jc w:val="center"/>
        <w:rPr>
          <w:b/>
          <w:highlight w:val="yellow"/>
        </w:rPr>
      </w:pPr>
      <w:r>
        <w:rPr>
          <w:b/>
          <w:sz w:val="24"/>
          <w:szCs w:val="24"/>
          <w:highlight w:val="yellow"/>
        </w:rPr>
        <w:t>Финансовое обеспечение исполнения обязательств</w:t>
      </w:r>
    </w:p>
    <w:p>
      <w:pPr>
        <w:pStyle w:val="Normal"/>
        <w:spacing w:before="120" w:after="120"/>
        <w:ind w:firstLine="709"/>
        <w:jc w:val="both"/>
        <w:rPr>
          <w:bCs/>
          <w:sz w:val="24"/>
          <w:szCs w:val="24"/>
          <w:highlight w:val="yellow"/>
        </w:rPr>
      </w:pPr>
      <w:r>
        <w:rPr>
          <w:bCs/>
          <w:sz w:val="24"/>
          <w:szCs w:val="24"/>
          <w:highlight w:val="yellow"/>
        </w:rPr>
        <w:t>Условия банковской гарантии возврата предварительной оплаты (аванса)</w:t>
      </w:r>
      <w:r>
        <w:rPr>
          <w:bCs/>
          <w:sz w:val="28"/>
          <w:szCs w:val="28"/>
        </w:rPr>
        <w:t xml:space="preserve"> </w:t>
      </w:r>
      <w:r>
        <w:rPr>
          <w:bCs/>
          <w:sz w:val="24"/>
          <w:szCs w:val="24"/>
          <w:highlight w:val="yellow"/>
        </w:rPr>
        <w:t>/надлежащего исполнения обязательств по Договору</w:t>
      </w:r>
    </w:p>
    <w:p>
      <w:pPr>
        <w:pStyle w:val="Normal"/>
        <w:tabs>
          <w:tab w:val="clear" w:pos="720"/>
          <w:tab w:val="left" w:pos="540" w:leader="none"/>
        </w:tabs>
        <w:spacing w:before="20" w:after="20"/>
        <w:ind w:firstLine="709"/>
        <w:jc w:val="both"/>
        <w:rPr>
          <w:color w:val="000000"/>
          <w:sz w:val="24"/>
          <w:szCs w:val="24"/>
          <w:highlight w:val="yellow"/>
        </w:rPr>
      </w:pPr>
      <w:r>
        <w:rPr>
          <w:bCs/>
          <w:sz w:val="24"/>
          <w:szCs w:val="24"/>
          <w:highlight w:val="yellow"/>
        </w:rPr>
        <w:t>Под банковской гарантией понимается гарантия согласованного Обществом Банка</w:t>
      </w:r>
      <w:r>
        <w:rPr>
          <w:sz w:val="24"/>
          <w:szCs w:val="24"/>
          <w:highlight w:val="yellow"/>
        </w:rPr>
        <w:t xml:space="preserve">, </w:t>
      </w:r>
      <w:r>
        <w:rPr>
          <w:bCs/>
          <w:sz w:val="24"/>
          <w:szCs w:val="24"/>
          <w:highlight w:val="yellow"/>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color w:val="000000"/>
          <w:sz w:val="24"/>
          <w:szCs w:val="24"/>
          <w:highlight w:val="yellow"/>
        </w:rPr>
        <w:t>:</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банковская гарантия должна быть безотзывной и безусловной (гарантия по первому требованию);</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бенефициар по банковской гарантии - Покупатель, принципал – Поставщик;</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сумма банковской гарантии выражена в валюте расчетов </w:t>
        <w:br/>
        <w:t>по Договору;</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сумма банковской гарантии возврата авансового платежа – не менее 100 (ста) процентов от суммы уплачиваемого по Договору аванса </w:t>
        <w:br/>
        <w:t>(в совокупной сумме с учетом ранее выплаченных и неотработанных авансовых платежей);</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сумма банковской гарантии надлежащего исполнения обязательств по Договору должна составлять не менее:</w:t>
      </w:r>
    </w:p>
    <w:p>
      <w:pPr>
        <w:pStyle w:val="Normal"/>
        <w:numPr>
          <w:ilvl w:val="0"/>
          <w:numId w:val="16"/>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10 (десяти) процентов от цены Договора / объекта;</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в целом, предусмотренной Договором.</w:t>
      </w:r>
    </w:p>
    <w:p>
      <w:pPr>
        <w:pStyle w:val="Normal"/>
        <w:spacing w:before="20" w:after="20"/>
        <w:ind w:firstLine="709"/>
        <w:jc w:val="both"/>
        <w:rPr>
          <w:sz w:val="24"/>
          <w:szCs w:val="24"/>
          <w:highlight w:val="yellow"/>
        </w:rPr>
      </w:pPr>
      <w:r>
        <w:rPr>
          <w:bCs/>
          <w:sz w:val="24"/>
          <w:szCs w:val="24"/>
          <w:highlight w:val="yellow"/>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 как полностью, так </w:t>
        <w:br/>
        <w:t xml:space="preserve">и частично, с указанием на существо допущенных Поставщиком нарушений, </w:t>
        <w:br/>
        <w:t>в том числе в случаях</w:t>
      </w:r>
      <w:r>
        <w:rPr>
          <w:sz w:val="24"/>
          <w:szCs w:val="24"/>
          <w:highlight w:val="yellow"/>
        </w:rPr>
        <w:t>:</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отказа Поставщика от исполнения обязательств по Договору, в том числе одностороннего отказа от Договора;</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отказа Поставщика от возврата неотработанного аванса </w:t>
        <w:br/>
        <w:t xml:space="preserve">при досрочном прекращении Договора/признании Договора недействительным; </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нарушения Поставщиком сроков поставки, установленных Календарным графиком, более чем </w:t>
        <w:br/>
        <w:t>на 15 (пятнадцать) календарных дней;</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 </w:t>
      </w:r>
      <w:r>
        <w:rPr>
          <w:color w:val="000000"/>
          <w:sz w:val="24"/>
          <w:szCs w:val="24"/>
          <w:highlight w:val="yellow"/>
        </w:rPr>
        <w:t>утраты Поставщиком специальных разрешений (в том числе отзыв, прекращение (приостановление) действие допусков, разрешений) и / или лицензий, предоставляющих Поставщику возможность надлежащего исполнения обязательств по Договору;</w:t>
      </w:r>
    </w:p>
    <w:p>
      <w:pPr>
        <w:pStyle w:val="Normal"/>
        <w:numPr>
          <w:ilvl w:val="0"/>
          <w:numId w:val="14"/>
        </w:numPr>
        <w:tabs>
          <w:tab w:val="clear" w:pos="720"/>
          <w:tab w:val="left" w:pos="1134" w:leader="none"/>
        </w:tabs>
        <w:spacing w:before="20" w:after="20"/>
        <w:ind w:left="0" w:firstLine="709"/>
        <w:jc w:val="both"/>
        <w:rPr>
          <w:bCs/>
          <w:sz w:val="24"/>
          <w:szCs w:val="24"/>
          <w:highlight w:val="yellow"/>
        </w:rPr>
      </w:pPr>
      <w:r>
        <w:rPr>
          <w:color w:val="000000"/>
          <w:sz w:val="24"/>
          <w:szCs w:val="24"/>
          <w:highlight w:val="yellow"/>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введения арбитражным судом процедуры несостоятельности (банкротства) в отношении Поставщика;</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установления в ходе исполнения Договора фактов несоответствия Поставщика установленным документацией о закупке требованиям </w:t>
        <w:br/>
        <w:t xml:space="preserve">к участникам закупки и / или предоставления недостоверной информации </w:t>
        <w:br/>
        <w:t>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pPr>
        <w:pStyle w:val="Normal"/>
        <w:numPr>
          <w:ilvl w:val="0"/>
          <w:numId w:val="14"/>
        </w:numPr>
        <w:tabs>
          <w:tab w:val="clear" w:pos="720"/>
          <w:tab w:val="left" w:pos="1134" w:leader="none"/>
        </w:tabs>
        <w:spacing w:before="20" w:after="20"/>
        <w:ind w:left="0" w:firstLine="709"/>
        <w:jc w:val="both"/>
        <w:rPr>
          <w:sz w:val="24"/>
          <w:szCs w:val="24"/>
          <w:highlight w:val="yellow"/>
        </w:rPr>
      </w:pPr>
      <w:r>
        <w:rPr>
          <w:color w:val="000000"/>
          <w:sz w:val="24"/>
          <w:szCs w:val="24"/>
          <w:highlight w:val="yellow"/>
        </w:rPr>
        <w:t>признания Договора недействительным по причинам отсутствия необходимых</w:t>
      </w:r>
      <w:r>
        <w:rPr>
          <w:sz w:val="24"/>
          <w:szCs w:val="24"/>
          <w:highlight w:val="yellow"/>
        </w:rPr>
        <w:t xml:space="preserve"> корпоративных одобрений у </w:t>
      </w:r>
      <w:r>
        <w:rPr>
          <w:color w:val="000000"/>
          <w:sz w:val="24"/>
          <w:szCs w:val="24"/>
          <w:highlight w:val="yellow"/>
        </w:rPr>
        <w:t>Поставщика</w:t>
      </w:r>
      <w:r>
        <w:rPr>
          <w:sz w:val="24"/>
          <w:szCs w:val="24"/>
          <w:highlight w:val="yellow"/>
        </w:rPr>
        <w:t>;</w:t>
      </w:r>
    </w:p>
    <w:p>
      <w:pPr>
        <w:pStyle w:val="Normal"/>
        <w:numPr>
          <w:ilvl w:val="0"/>
          <w:numId w:val="14"/>
        </w:numPr>
        <w:tabs>
          <w:tab w:val="clear" w:pos="720"/>
          <w:tab w:val="left" w:pos="1134" w:leader="none"/>
        </w:tabs>
        <w:spacing w:before="20" w:after="20"/>
        <w:ind w:left="0" w:firstLine="709"/>
        <w:jc w:val="both"/>
        <w:rPr>
          <w:sz w:val="24"/>
          <w:szCs w:val="24"/>
          <w:highlight w:val="yellow"/>
        </w:rPr>
      </w:pPr>
      <w:r>
        <w:rPr>
          <w:sz w:val="24"/>
          <w:szCs w:val="24"/>
          <w:highlight w:val="yellow"/>
        </w:rPr>
        <w:t xml:space="preserve">не предоставления </w:t>
      </w:r>
      <w:r>
        <w:rPr>
          <w:color w:val="000000"/>
          <w:sz w:val="24"/>
          <w:szCs w:val="24"/>
          <w:highlight w:val="yellow"/>
        </w:rPr>
        <w:t xml:space="preserve">Поставщиком </w:t>
      </w:r>
      <w:r>
        <w:rPr>
          <w:sz w:val="24"/>
          <w:szCs w:val="24"/>
          <w:highlight w:val="yellow"/>
        </w:rPr>
        <w:t xml:space="preserve">в срок не позднее чем </w:t>
        <w:br/>
        <w:t xml:space="preserve">за 30 (тридцать) календарных дней до даты истечения срока действия банковской гарантии новой банковской гарантии или изменения </w:t>
        <w:br/>
        <w:t xml:space="preserve">к действующей гарантии в части увеличения срока ее действия на новый период, в случаях если срок исполнения обязательств </w:t>
      </w:r>
      <w:r>
        <w:rPr>
          <w:color w:val="000000"/>
          <w:sz w:val="24"/>
          <w:szCs w:val="24"/>
          <w:highlight w:val="yellow"/>
        </w:rPr>
        <w:t>Поставщика</w:t>
      </w:r>
      <w:r>
        <w:rPr>
          <w:sz w:val="24"/>
          <w:szCs w:val="24"/>
          <w:highlight w:val="yellow"/>
        </w:rPr>
        <w:br/>
        <w:t>по Договору превышает срок действия банковской гарантии либо срок исполнения обязательств продлен.</w:t>
      </w:r>
    </w:p>
    <w:p>
      <w:pPr>
        <w:pStyle w:val="Normal"/>
        <w:spacing w:before="20" w:after="20"/>
        <w:ind w:firstLine="709"/>
        <w:jc w:val="both"/>
        <w:rPr>
          <w:color w:val="000000"/>
          <w:sz w:val="24"/>
          <w:szCs w:val="24"/>
          <w:highlight w:val="yellow"/>
        </w:rPr>
      </w:pPr>
      <w:r>
        <w:rPr>
          <w:color w:val="000000"/>
          <w:sz w:val="24"/>
          <w:szCs w:val="24"/>
          <w:highlight w:val="yellow"/>
        </w:rPr>
        <w:t>Вместе с требованием о предъявлении суммы обеспечения к оплате Покупатель направляет Банку-гаранту копию банковской гарантии.</w:t>
      </w:r>
    </w:p>
    <w:p>
      <w:pPr>
        <w:pStyle w:val="Normal"/>
        <w:spacing w:before="20" w:after="20"/>
        <w:ind w:firstLine="709"/>
        <w:jc w:val="both"/>
        <w:rPr>
          <w:sz w:val="24"/>
          <w:szCs w:val="24"/>
          <w:highlight w:val="yellow"/>
        </w:rPr>
      </w:pPr>
      <w:r>
        <w:rPr>
          <w:bCs/>
          <w:sz w:val="24"/>
          <w:szCs w:val="24"/>
          <w:highlight w:val="yellow"/>
        </w:rPr>
        <w:t xml:space="preserve">Банковской гарантией возврата авансового платежа может быть предусмотрено условие о предоставлении вместе с требованием </w:t>
        <w:br/>
        <w:t>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Normal"/>
        <w:spacing w:before="20" w:after="20"/>
        <w:ind w:firstLine="709"/>
        <w:jc w:val="both"/>
        <w:rPr>
          <w:sz w:val="24"/>
          <w:szCs w:val="24"/>
          <w:highlight w:val="yellow"/>
        </w:rPr>
      </w:pPr>
      <w:r>
        <w:rPr>
          <w:sz w:val="24"/>
          <w:szCs w:val="24"/>
          <w:highlight w:val="yellow"/>
        </w:rPr>
        <w:t xml:space="preserve">Платеж по банковской гарантии осуществляется Банком-гарантом </w:t>
        <w:br/>
        <w:t>в течение 10 (десяти) рабочих дней после обращения бенефициара (Покупателя).</w:t>
      </w:r>
    </w:p>
    <w:p>
      <w:pPr>
        <w:pStyle w:val="Normal"/>
        <w:spacing w:before="20" w:after="20"/>
        <w:ind w:firstLine="709"/>
        <w:jc w:val="both"/>
        <w:rPr>
          <w:sz w:val="24"/>
          <w:szCs w:val="24"/>
          <w:highlight w:val="yellow"/>
        </w:rPr>
      </w:pPr>
      <w:r>
        <w:rPr>
          <w:sz w:val="24"/>
          <w:szCs w:val="24"/>
          <w:highlight w:val="yellow"/>
        </w:rPr>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Normal"/>
        <w:spacing w:before="20" w:after="20"/>
        <w:ind w:firstLine="709"/>
        <w:jc w:val="both"/>
        <w:rPr>
          <w:sz w:val="24"/>
          <w:szCs w:val="24"/>
          <w:highlight w:val="yellow"/>
        </w:rPr>
      </w:pPr>
      <w:r>
        <w:rPr>
          <w:sz w:val="24"/>
          <w:szCs w:val="24"/>
          <w:highlight w:val="yellow"/>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ind w:firstLine="709"/>
        <w:jc w:val="both"/>
        <w:rPr>
          <w:sz w:val="24"/>
          <w:szCs w:val="24"/>
          <w:highlight w:val="yellow"/>
        </w:rPr>
      </w:pPr>
      <w:r>
        <w:rPr>
          <w:sz w:val="24"/>
          <w:szCs w:val="24"/>
          <w:highlight w:val="yellow"/>
        </w:rPr>
        <w:t>Принадлежащее Покупателю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before="20" w:after="20"/>
        <w:ind w:firstLine="709"/>
        <w:jc w:val="both"/>
        <w:rPr>
          <w:bCs/>
          <w:sz w:val="24"/>
          <w:szCs w:val="24"/>
          <w:highlight w:val="yellow"/>
        </w:rPr>
      </w:pPr>
      <w:r>
        <w:rPr>
          <w:bCs/>
          <w:sz w:val="24"/>
          <w:szCs w:val="24"/>
          <w:highlight w:val="yellow"/>
        </w:rPr>
        <w:t xml:space="preserve">Банковская гарантия должна быть подчинена материальному праву Российской Федерации и предусматривать Арбитражный суд г. Москвы </w:t>
        <w:br/>
        <w:t>в качестве органа, компетентного разрешать споры из банковской гарантии.</w:t>
      </w:r>
    </w:p>
    <w:p>
      <w:pPr>
        <w:pStyle w:val="BodyText"/>
        <w:numPr>
          <w:ilvl w:val="0"/>
          <w:numId w:val="0"/>
        </w:numPr>
        <w:outlineLvl w:val="0"/>
        <w:rPr>
          <w:b/>
          <w:bCs/>
          <w:sz w:val="24"/>
          <w:szCs w:val="24"/>
          <w:highlight w:val="yellow"/>
        </w:rPr>
      </w:pPr>
      <w:r>
        <w:rPr>
          <w:sz w:val="24"/>
          <w:szCs w:val="24"/>
          <w:highlight w:val="yellow"/>
        </w:rPr>
        <w:t>Банковская гарантия не должна содержать условий или требований, противоречащих изложенному или делающих изложенное неисполнимым.</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b/>
                <w:sz w:val="24"/>
                <w:szCs w:val="24"/>
                <w:highlight w:val="yellow"/>
                <w:u w:val="single"/>
                <w:lang w:val="ru-RU"/>
              </w:rPr>
              <w:t>Покупатель</w:t>
            </w:r>
            <w:r>
              <w:rPr>
                <w:rFonts w:ascii="Times New Roman" w:hAnsi="Times New Roman"/>
                <w:b/>
                <w:sz w:val="24"/>
                <w:szCs w:val="24"/>
                <w:highlight w:val="yellow"/>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highlight w:val="yellow"/>
                <w:u w:val="single"/>
                <w:lang w:val="ru-RU"/>
              </w:rPr>
            </w:pPr>
            <w:r>
              <w:rPr>
                <w:rFonts w:ascii="Times New Roman" w:hAnsi="Times New Roman"/>
                <w:b/>
                <w:sz w:val="24"/>
                <w:szCs w:val="24"/>
                <w:highlight w:val="yellow"/>
                <w:u w:val="single"/>
                <w:lang w:val="ru-RU"/>
              </w:rPr>
              <w:t>Поставщик</w:t>
            </w:r>
            <w:r>
              <w:rPr>
                <w:rFonts w:ascii="Times New Roman" w:hAnsi="Times New Roman"/>
                <w:b/>
                <w:sz w:val="24"/>
                <w:szCs w:val="24"/>
                <w:highlight w:val="yellow"/>
                <w:u w:val="single"/>
              </w:rPr>
              <w:t>:</w:t>
            </w:r>
          </w:p>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szCs w:val="24"/>
                <w:highlight w:val="yellow"/>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highlight w:val="yellow"/>
                <w:lang w:val="ru-RU"/>
              </w:rPr>
            </w:pPr>
            <w:r>
              <w:rPr>
                <w:rFonts w:ascii="Times New Roman" w:hAnsi="Times New Roman"/>
                <w:sz w:val="24"/>
                <w:szCs w:val="24"/>
                <w:highlight w:val="yellow"/>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highlight w:val="yellow"/>
                <w:lang w:val="ru-RU"/>
              </w:rPr>
              <w:t>М.п.</w:t>
            </w:r>
          </w:p>
        </w:tc>
      </w:tr>
    </w:tbl>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7635" cy="146685"/>
              <wp:effectExtent l="0" t="0" r="0" b="0"/>
              <wp:wrapSquare wrapText="bothSides"/>
              <wp:docPr id="6"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7635" cy="146685"/>
              <wp:effectExtent l="0" t="0" r="0" b="0"/>
              <wp:wrapSquare wrapText="bothSides"/>
              <wp:docPr id="8" name="Врезка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a13dd6"/>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sayany@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36A6B-17BA-4AE1-90BB-288D6537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Application>AlterOffice/3.4.0.8$Linux_X86_64 LibreOffice_project/8f3f3c847f0b8d6fea24e251d3d8ed4f23cbe23c</Application>
  <AppVersion>15.0000</AppVersion>
  <Pages>23</Pages>
  <Words>7969</Words>
  <Characters>56566</Characters>
  <CharactersWithSpaces>64016</CharactersWithSpaces>
  <Paragraphs>424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kochetovsv@corp.gidroogk.com</cp:lastModifiedBy>
  <cp:lastPrinted>2017-11-07T14:47:00Z</cp:lastPrinted>
  <dcterms:modified xsi:type="dcterms:W3CDTF">2025-02-11T11:09:23Z</dcterms:modified>
  <cp:revision>53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