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7.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footer6.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styles.xml" ContentType="application/vnd.openxmlformats-officedocument.wordprocessingml.styles+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word/footer5.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 xml:space="preserve">по результатам проведенного ____________,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Pr>
          <w:b/>
          <w:sz w:val="24"/>
          <w:szCs w:val="24"/>
        </w:rPr>
        <w:t>Приложения № 2</w:t>
      </w:r>
      <w:r>
        <w:rPr>
          <w:sz w:val="24"/>
          <w:szCs w:val="24"/>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Pr>
          <w:b/>
          <w:sz w:val="24"/>
          <w:szCs w:val="24"/>
        </w:rPr>
        <w:t>Приложение № 1</w:t>
      </w:r>
      <w:r>
        <w:rPr>
          <w:sz w:val="24"/>
          <w:szCs w:val="24"/>
        </w:rPr>
        <w:t>).</w:t>
      </w:r>
    </w:p>
    <w:p>
      <w:pPr>
        <w:pStyle w:val="Normal"/>
        <w:shd w:val="clear" w:color="auto" w:fill="FFFFFF"/>
        <w:tabs>
          <w:tab w:val="clear" w:pos="720"/>
          <w:tab w:val="left" w:pos="540" w:leader="none"/>
        </w:tabs>
        <w:spacing w:before="0" w:after="120"/>
        <w:jc w:val="both"/>
        <w:rPr>
          <w:sz w:val="24"/>
          <w:szCs w:val="24"/>
        </w:rPr>
      </w:pPr>
      <w:r>
        <w:rPr>
          <w:sz w:val="24"/>
          <w:szCs w:val="24"/>
        </w:rPr>
        <w:tab/>
        <w:t xml:space="preserve">Заявка на соответствующую партию Продукцию направляется по факсу/электронной почте/нарочно Поставщику в срок не менее 7 календарных дней до даты поставки. После получения Заявки Поставщик обязан подписать её и направить Покупателю по факсу/электронной почте/нарочно в срок, не превышающий 3 календарных дней со дня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 </w:t>
      </w:r>
    </w:p>
    <w:p>
      <w:pPr>
        <w:pStyle w:val="Normal"/>
        <w:shd w:val="clear" w:color="auto" w:fill="FFFFFF"/>
        <w:tabs>
          <w:tab w:val="clear" w:pos="720"/>
          <w:tab w:val="left" w:pos="540" w:leader="none"/>
        </w:tabs>
        <w:spacing w:before="120" w:after="0"/>
        <w:jc w:val="both"/>
        <w:rPr>
          <w:sz w:val="24"/>
          <w:szCs w:val="24"/>
        </w:rPr>
      </w:pPr>
      <w:r>
        <w:rPr>
          <w:sz w:val="24"/>
          <w:szCs w:val="24"/>
        </w:rPr>
        <w:tab/>
        <w:t>Заявка, подписанная с двух сторон в качестве Приложения к договору, является неотъемлемой частью Договора.</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Конечный срок поставки Продукции по договору: 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Предельная стоимость Продукции (далее – «Цена Договора») по Договору составляет __________(__________________) рублей _____ копеек, в том числе НДС (2</w:t>
      </w:r>
      <w:r>
        <w:rPr>
          <w:sz w:val="24"/>
          <w:szCs w:val="24"/>
        </w:rPr>
        <w:t>2</w:t>
      </w:r>
      <w:r>
        <w:rPr>
          <w:sz w:val="24"/>
          <w:szCs w:val="24"/>
        </w:rPr>
        <w:t xml:space="preserve">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Цена единицы Продукции определена в Спецификации (Приложение № 1),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партии Продукции определяется Заявкой (по форме </w:t>
      </w:r>
      <w:r>
        <w:rPr>
          <w:b/>
          <w:sz w:val="24"/>
          <w:szCs w:val="24"/>
        </w:rPr>
        <w:t>Приложения № 2</w:t>
      </w:r>
      <w:r>
        <w:rPr>
          <w:sz w:val="24"/>
          <w:szCs w:val="24"/>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2.5.1. Платеж в размере 90 % (девяносто процентов) от стоимости по поставленной партии Продукции, согласно Заявке, производится Покупателем </w:t>
      </w:r>
      <w:r>
        <w:rPr>
          <w:sz w:val="24"/>
          <w:szCs w:val="24"/>
          <w:highlight w:val="yellow"/>
        </w:rPr>
        <w:t>в течение 30 (тридцати) календарных дней / 7 (семи) рабочих дней</w:t>
      </w:r>
      <w:r>
        <w:rPr>
          <w:rStyle w:val="FootnoteReference"/>
          <w:sz w:val="24"/>
          <w:szCs w:val="24"/>
          <w:highlight w:val="yellow"/>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соответствующую партию Продукции, при условии получении счета, выставленного Поставщиком. При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2.5.2. Обеспечительный платеж в размере 10 % (десять процентов)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Расчеты по Договору осуществляются в валюте Российской Федерации. </w:t>
      </w:r>
      <w:r>
        <w:rPr>
          <w:sz w:val="24"/>
          <w:szCs w:val="24"/>
          <w:highlight w:val="green"/>
        </w:rPr>
        <w:t>Оплата производится в валюте Российской Федерации на обособленный банковский счет в ПАО Сбербанк, открываемый Поставщиком в соответствии с п. 2.13 Договора.</w:t>
      </w:r>
      <w:r>
        <w:rPr>
          <w:sz w:val="24"/>
          <w:szCs w:val="24"/>
        </w:rPr>
        <w:t xml:space="preserve">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highlight w:val="green"/>
        </w:rPr>
      </w:pPr>
      <w:r>
        <w:rPr>
          <w:sz w:val="24"/>
          <w:szCs w:val="24"/>
          <w:highlight w:val="green"/>
        </w:rPr>
        <w:t>Поставщик обязан в течение 3 (трех) рабочих дней с даты заключения Договора открыть обособленный банковский счет (далее – ОБС) в ПАО Сбербанк, используемый исключительно для расчетов между Поставщиком и Покупателем по Договору, а также обеспечить аналогичную обязанность организаций по всем уровням кооперации, за исключением мелких закупок (менее 2 500 000,00 рублей, без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highlight w:val="green"/>
        </w:rPr>
      </w:pPr>
      <w:r>
        <w:rPr>
          <w:sz w:val="24"/>
          <w:szCs w:val="24"/>
          <w:highlight w:val="green"/>
        </w:rPr>
        <w:t>Поставщик обязан предоставить полномочия (права) ПАО Сбербанк сообщать любую информацию Покупателю о ходе исполнения Договора, о наличии, статусе, движении денежных средств по счетам Поставщика, открытым в ПАО Сбербанк, а также предусмотреть аналогичные обязанности при заключении договоров между организациями по всем уровням кооперации.</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highlight w:val="green"/>
        </w:rPr>
      </w:pPr>
      <w:r>
        <w:rPr>
          <w:sz w:val="24"/>
          <w:szCs w:val="24"/>
          <w:highlight w:val="green"/>
        </w:rPr>
        <w:t>Поставщик обязан в течение 5 (пяти) рабочих дней с даты заключения Договора передать ПАО Сбербанк письменное полномочие (право) на предоставление сведений, а также предусмотреть аналогичные обязанности при заключении договоров между организациями по всем уровням кооперации.</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highlight w:val="green"/>
        </w:rPr>
        <w:t>Поставщик обязан по письменному требованию ПАО Сбербанк предоставлять сведения и документы, составленные по формам, не противоречащим законодательству РФ, установленным договором ОБС и подтверждающие факт установления гражданских прав и обязанностей, выполнения работ/услуг, связанных с исполнением государственных контрактов, необходимых для осуществления ПАО Сбербанк мониторинга и контроля целевого назначения использования денежных средств на ОБС и/или осуществления ПАО Сбербанк других функций агента по сопровождению государственных контрактов, а также предусмотреть аналогичные обязанности при заключении договоров между организациями по всем уровням кооперации.</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Заявке-Спецификации,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sz w:val="24"/>
          <w:szCs w:val="24"/>
          <w:shd w:fill="FFFF00" w:val="clear"/>
        </w:rPr>
        <w:t>1</w:t>
      </w:r>
      <w:r>
        <w:rPr>
          <w:sz w:val="24"/>
          <w:szCs w:val="24"/>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sz w:val="24"/>
          <w:szCs w:val="24"/>
          <w:shd w:fill="FFFF00" w:val="clear"/>
        </w:rPr>
        <w:t>1</w:t>
      </w:r>
      <w:r>
        <w:rPr>
          <w:sz w:val="24"/>
          <w:szCs w:val="24"/>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sz w:val="24"/>
          <w:szCs w:val="24"/>
          <w:shd w:fill="FFFF00" w:val="clear"/>
        </w:rPr>
        <w:t>1</w:t>
      </w:r>
      <w:r>
        <w:rPr>
          <w:sz w:val="24"/>
          <w:szCs w:val="24"/>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(каждую партию отгруженной Продукции) </w:t>
      </w:r>
      <w:r>
        <w:rPr>
          <w:sz w:val="24"/>
          <w:szCs w:val="24"/>
          <w:shd w:fill="FFFF00" w:val="clear"/>
        </w:rPr>
        <w:t>1</w:t>
      </w:r>
      <w:r>
        <w:rPr>
          <w:sz w:val="24"/>
          <w:szCs w:val="24"/>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о происхождении Продукции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с обязательным указанием номера и даты Заявки-Спецификации.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повреждении упаковки, тары,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0" w:name="_Hlk129960060"/>
      <w:r>
        <w:rPr>
          <w:sz w:val="24"/>
          <w:szCs w:val="24"/>
        </w:rPr>
        <w:t>На Продукцию устанавливается гарантийный срок, равный _____ (________________)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bookmarkEnd w:id="0"/>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Поставка Продукции по Договору осуществляется Поставщиком в соответствии с Заявками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highlight w:val="yellow"/>
        </w:rPr>
      </w:pPr>
      <w:bookmarkStart w:id="3" w:name="_Hlk129960467"/>
      <w:r>
        <w:rPr>
          <w:sz w:val="24"/>
          <w:szCs w:val="24"/>
          <w:highlight w:val="yellow"/>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highlight w:val="yellow"/>
        </w:rPr>
        <w:t xml:space="preserve"> </w:t>
      </w:r>
      <w:r>
        <w:rPr>
          <w:sz w:val="24"/>
          <w:szCs w:val="24"/>
          <w:highlight w:val="yellow"/>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bookmarkEnd w:id="3"/>
      <w:r>
        <w:rPr>
          <w:sz w:val="24"/>
          <w:szCs w:val="24"/>
          <w:highlight w:val="yellow"/>
        </w:rPr>
        <w:t xml:space="preserve">. </w:t>
      </w:r>
    </w:p>
    <w:p>
      <w:pPr>
        <w:pStyle w:val="Normal"/>
        <w:widowControl w:val="false"/>
        <w:numPr>
          <w:ilvl w:val="1"/>
          <w:numId w:val="6"/>
        </w:numPr>
        <w:tabs>
          <w:tab w:val="clear" w:pos="720"/>
          <w:tab w:val="left" w:pos="993" w:leader="none"/>
          <w:tab w:val="left" w:pos="1276" w:leader="none"/>
        </w:tabs>
        <w:spacing w:before="0" w:after="120"/>
        <w:ind w:left="0" w:firstLine="567"/>
        <w:jc w:val="both"/>
        <w:rPr>
          <w:sz w:val="24"/>
          <w:szCs w:val="24"/>
          <w:highlight w:val="yellow"/>
        </w:rPr>
      </w:pPr>
      <w:bookmarkStart w:id="4" w:name="_Hlk129961697"/>
      <w:r>
        <w:rPr>
          <w:sz w:val="24"/>
          <w:szCs w:val="24"/>
          <w:highlight w:val="yellow"/>
        </w:rPr>
        <w:t xml:space="preserve">В случае нарушения Поставщиком обязательств по поставке партии Продукции (нарушение срока поставки, недопоставка), а также несвоевременного устранения выявленных недостатков Продукции, согласно п.3.14 Договора, Поставщик вправе потребовать уплаты Покупателем: </w:t>
      </w:r>
    </w:p>
    <w:p>
      <w:pPr>
        <w:pStyle w:val="Normal"/>
        <w:tabs>
          <w:tab w:val="clear" w:pos="720"/>
          <w:tab w:val="left" w:pos="1134" w:leader="none"/>
        </w:tabs>
        <w:jc w:val="both"/>
        <w:rPr>
          <w:rFonts w:eastAsia="Calibri"/>
          <w:bCs/>
          <w:sz w:val="24"/>
          <w:szCs w:val="24"/>
          <w:highlight w:val="yellow"/>
        </w:rPr>
      </w:pPr>
      <w:r>
        <w:rPr>
          <w:rFonts w:eastAsia="Calibri"/>
          <w:bCs/>
          <w:sz w:val="24"/>
          <w:szCs w:val="24"/>
          <w:highlight w:val="yellow"/>
        </w:rPr>
        <w:tab/>
        <w:t>- неустойки в размере 0,1 (ноль целых и одна десятая) процента от цены партии Продукции, за каждый день просрочки поставки Продукции;</w:t>
      </w:r>
    </w:p>
    <w:p>
      <w:pPr>
        <w:pStyle w:val="Normal"/>
        <w:tabs>
          <w:tab w:val="clear" w:pos="720"/>
          <w:tab w:val="left" w:pos="1134" w:leader="none"/>
        </w:tabs>
        <w:jc w:val="both"/>
        <w:rPr>
          <w:rFonts w:eastAsia="Calibri"/>
          <w:bCs/>
          <w:sz w:val="24"/>
          <w:szCs w:val="24"/>
          <w:highlight w:val="yellow"/>
        </w:rPr>
      </w:pPr>
      <w:r>
        <w:rPr>
          <w:rFonts w:eastAsia="Calibri"/>
          <w:bCs/>
          <w:sz w:val="24"/>
          <w:szCs w:val="24"/>
          <w:highlight w:val="yellow"/>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в целом по Договору; </w:t>
      </w:r>
    </w:p>
    <w:p>
      <w:pPr>
        <w:pStyle w:val="Normal"/>
        <w:tabs>
          <w:tab w:val="clear" w:pos="720"/>
          <w:tab w:val="left" w:pos="1134" w:leader="none"/>
        </w:tabs>
        <w:jc w:val="both"/>
        <w:rPr>
          <w:rFonts w:eastAsia="Calibri"/>
          <w:bCs/>
          <w:sz w:val="24"/>
          <w:szCs w:val="24"/>
        </w:rPr>
      </w:pPr>
      <w:bookmarkStart w:id="5" w:name="_Hlk129961697"/>
      <w:r>
        <w:rPr>
          <w:rFonts w:eastAsia="Calibri"/>
          <w:bCs/>
          <w:sz w:val="24"/>
          <w:szCs w:val="24"/>
          <w:highlight w:val="yellow"/>
        </w:rPr>
        <w:tab/>
        <w:t>-неустойки в размере 0,1 (ноль целых и одна десятая) процента от стоимости партии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в целом по Договору</w:t>
      </w:r>
      <w:bookmarkEnd w:id="5"/>
      <w:r>
        <w:rPr>
          <w:rFonts w:eastAsia="Calibri"/>
          <w:bCs/>
          <w:sz w:val="24"/>
          <w:szCs w:val="24"/>
          <w:highlight w:val="yellow"/>
        </w:rPr>
        <w:t>.</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r>
      <w:r>
        <w:rPr>
          <w:sz w:val="24"/>
          <w:szCs w:val="24"/>
          <w:highlight w:val="yellow"/>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r>
        <w:rPr>
          <w:sz w:val="24"/>
          <w:szCs w:val="24"/>
        </w:rPr>
        <w:t xml:space="preserve">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0"/>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0"/>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10"/>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w:t>
      </w:r>
      <w:r>
        <w:rPr>
          <w:sz w:val="24"/>
          <w:szCs w:val="24"/>
          <w:highlight w:val="yellow"/>
        </w:rPr>
        <w:t>г.Москвы</w:t>
      </w:r>
      <w:r>
        <w:rPr>
          <w:sz w:val="24"/>
          <w:szCs w:val="24"/>
        </w:rPr>
        <w:t>.</w:t>
      </w:r>
    </w:p>
    <w:p>
      <w:pPr>
        <w:pStyle w:val="ListParagraph"/>
        <w:shd w:val="clear" w:color="auto" w:fill="FFFFFF"/>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bookmarkStart w:id="7" w:name="sub_1"/>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2 – Форма Заявки-Спецификации.</w:t>
      </w:r>
    </w:p>
    <w:p>
      <w:pPr>
        <w:pStyle w:val="Normal"/>
        <w:spacing w:before="0" w:after="120"/>
        <w:ind w:left="567" w:hanging="567"/>
        <w:rPr>
          <w:sz w:val="24"/>
          <w:szCs w:val="24"/>
        </w:rPr>
      </w:pPr>
      <w:bookmarkStart w:id="8" w:name="sub_1"/>
      <w:r>
        <w:rPr>
          <w:sz w:val="24"/>
          <w:szCs w:val="24"/>
        </w:rPr>
        <w:tab/>
      </w:r>
      <w:bookmarkEnd w:id="8"/>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4"/>
                <w:szCs w:val="24"/>
              </w:rPr>
            </w:pPr>
            <w:r>
              <w:rPr>
                <w:b/>
                <w:sz w:val="24"/>
                <w:szCs w:val="24"/>
              </w:rPr>
              <w:t>АО «Гидроремонт-ВКК»</w:t>
            </w:r>
          </w:p>
          <w:p>
            <w:pPr>
              <w:pStyle w:val="Normal"/>
              <w:widowControl w:val="false"/>
              <w:rPr>
                <w:sz w:val="24"/>
                <w:szCs w:val="24"/>
              </w:rPr>
            </w:pPr>
            <w:r>
              <w:rPr>
                <w:sz w:val="24"/>
                <w:szCs w:val="24"/>
              </w:rPr>
              <w:t>Юридический адрес: 119421, город Москва, улица Новаторов, дом 1</w:t>
            </w:r>
          </w:p>
          <w:p>
            <w:pPr>
              <w:pStyle w:val="Normal"/>
              <w:widowControl w:val="false"/>
              <w:rPr>
                <w:sz w:val="24"/>
                <w:szCs w:val="24"/>
              </w:rPr>
            </w:pPr>
            <w:r>
              <w:rPr>
                <w:sz w:val="24"/>
                <w:szCs w:val="24"/>
              </w:rPr>
              <w:t>Саяно-Шушенский филиал</w:t>
            </w:r>
          </w:p>
          <w:p>
            <w:pPr>
              <w:pStyle w:val="Normal"/>
              <w:widowControl w:val="false"/>
              <w:rPr>
                <w:sz w:val="24"/>
                <w:szCs w:val="24"/>
              </w:rPr>
            </w:pPr>
            <w:r>
              <w:rPr>
                <w:sz w:val="24"/>
                <w:szCs w:val="24"/>
              </w:rPr>
              <w:t>АО "Гидроремонт-ВКК" в п. Черемушки</w:t>
            </w:r>
          </w:p>
          <w:p>
            <w:pPr>
              <w:pStyle w:val="Normal"/>
              <w:widowControl w:val="false"/>
              <w:rPr>
                <w:sz w:val="24"/>
                <w:szCs w:val="24"/>
              </w:rPr>
            </w:pPr>
            <w:r>
              <w:rPr>
                <w:sz w:val="24"/>
                <w:szCs w:val="24"/>
              </w:rPr>
              <w:t>Место нахождения: 655619, Российская</w:t>
            </w:r>
          </w:p>
          <w:p>
            <w:pPr>
              <w:pStyle w:val="Normal"/>
              <w:widowControl w:val="false"/>
              <w:rPr>
                <w:sz w:val="24"/>
                <w:szCs w:val="24"/>
              </w:rPr>
            </w:pPr>
            <w:r>
              <w:rPr>
                <w:sz w:val="24"/>
                <w:szCs w:val="24"/>
              </w:rPr>
              <w:t>Федерация, Республика Хакасия,</w:t>
            </w:r>
          </w:p>
          <w:p>
            <w:pPr>
              <w:pStyle w:val="Normal"/>
              <w:widowControl w:val="false"/>
              <w:rPr>
                <w:sz w:val="24"/>
                <w:szCs w:val="24"/>
              </w:rPr>
            </w:pPr>
            <w:r>
              <w:rPr>
                <w:sz w:val="24"/>
                <w:szCs w:val="24"/>
              </w:rPr>
              <w:t>г. Саяногорск, рп. Черемушки, д.103</w:t>
            </w:r>
          </w:p>
          <w:p>
            <w:pPr>
              <w:pStyle w:val="Normal"/>
              <w:widowControl w:val="false"/>
              <w:rPr>
                <w:sz w:val="24"/>
                <w:szCs w:val="24"/>
              </w:rPr>
            </w:pPr>
            <w:r>
              <w:rPr>
                <w:sz w:val="24"/>
                <w:szCs w:val="24"/>
              </w:rPr>
              <w:t>Почтовый адрес: 655619, Российская Федерация, Республика Хакасия,</w:t>
            </w:r>
          </w:p>
          <w:p>
            <w:pPr>
              <w:pStyle w:val="Normal"/>
              <w:widowControl w:val="false"/>
              <w:rPr>
                <w:sz w:val="24"/>
                <w:szCs w:val="24"/>
              </w:rPr>
            </w:pPr>
            <w:r>
              <w:rPr>
                <w:sz w:val="24"/>
                <w:szCs w:val="24"/>
              </w:rPr>
              <w:t>г. Саяногорск, рп. Черемушки, д. 103, а/я 31</w:t>
            </w:r>
          </w:p>
          <w:p>
            <w:pPr>
              <w:pStyle w:val="Normal"/>
              <w:widowControl w:val="false"/>
              <w:rPr>
                <w:sz w:val="24"/>
                <w:szCs w:val="24"/>
              </w:rPr>
            </w:pPr>
            <w:r>
              <w:rPr>
                <w:sz w:val="24"/>
                <w:szCs w:val="24"/>
              </w:rPr>
              <w:t>ИНН 6345012488 КПП 190243001</w:t>
            </w:r>
          </w:p>
          <w:p>
            <w:pPr>
              <w:pStyle w:val="Normal"/>
              <w:widowControl w:val="false"/>
              <w:rPr>
                <w:sz w:val="24"/>
                <w:szCs w:val="24"/>
              </w:rPr>
            </w:pPr>
            <w:r>
              <w:rPr>
                <w:sz w:val="24"/>
                <w:szCs w:val="24"/>
              </w:rPr>
              <w:t>ОГРН 1036301733005 ОКПО 23337446</w:t>
            </w:r>
          </w:p>
          <w:p>
            <w:pPr>
              <w:pStyle w:val="Normal"/>
              <w:widowControl w:val="false"/>
              <w:rPr>
                <w:sz w:val="24"/>
                <w:szCs w:val="24"/>
              </w:rPr>
            </w:pPr>
            <w:r>
              <w:rPr>
                <w:sz w:val="24"/>
                <w:szCs w:val="24"/>
              </w:rPr>
              <w:t>Плательщик: Саяно-Шушенский филиал</w:t>
            </w:r>
          </w:p>
          <w:p>
            <w:pPr>
              <w:pStyle w:val="Normal"/>
              <w:widowControl w:val="false"/>
              <w:rPr>
                <w:sz w:val="24"/>
                <w:szCs w:val="24"/>
              </w:rPr>
            </w:pPr>
            <w:r>
              <w:rPr>
                <w:sz w:val="24"/>
                <w:szCs w:val="24"/>
              </w:rPr>
              <w:t>АО «Гидроремонт-ВКК» в п. Черемушки</w:t>
            </w:r>
          </w:p>
          <w:p>
            <w:pPr>
              <w:pStyle w:val="Normal"/>
              <w:widowControl w:val="false"/>
              <w:rPr>
                <w:sz w:val="24"/>
                <w:szCs w:val="24"/>
                <w:highlight w:val="green"/>
              </w:rPr>
            </w:pPr>
            <w:r>
              <w:rPr>
                <w:sz w:val="24"/>
                <w:szCs w:val="24"/>
                <w:highlight w:val="green"/>
              </w:rPr>
              <w:t>Р/с: 40702810871000000312</w:t>
            </w:r>
          </w:p>
          <w:p>
            <w:pPr>
              <w:pStyle w:val="Normal"/>
              <w:widowControl w:val="false"/>
              <w:rPr>
                <w:sz w:val="24"/>
                <w:szCs w:val="24"/>
                <w:highlight w:val="green"/>
              </w:rPr>
            </w:pPr>
            <w:r>
              <w:rPr>
                <w:sz w:val="24"/>
                <w:szCs w:val="24"/>
                <w:highlight w:val="green"/>
              </w:rPr>
              <w:t>Абаканское отделение №8602</w:t>
            </w:r>
          </w:p>
          <w:p>
            <w:pPr>
              <w:pStyle w:val="Normal"/>
              <w:widowControl w:val="false"/>
              <w:rPr>
                <w:sz w:val="24"/>
                <w:szCs w:val="24"/>
                <w:highlight w:val="green"/>
              </w:rPr>
            </w:pPr>
            <w:r>
              <w:rPr>
                <w:sz w:val="24"/>
                <w:szCs w:val="24"/>
                <w:highlight w:val="green"/>
              </w:rPr>
              <w:t>ПАО Сбербанк</w:t>
            </w:r>
          </w:p>
          <w:p>
            <w:pPr>
              <w:pStyle w:val="Normal"/>
              <w:widowControl w:val="false"/>
              <w:rPr>
                <w:sz w:val="24"/>
                <w:szCs w:val="24"/>
                <w:highlight w:val="green"/>
              </w:rPr>
            </w:pPr>
            <w:r>
              <w:rPr>
                <w:sz w:val="24"/>
                <w:szCs w:val="24"/>
                <w:highlight w:val="green"/>
              </w:rPr>
              <w:t>К/с: 30101810500000000608</w:t>
            </w:r>
          </w:p>
          <w:p>
            <w:pPr>
              <w:pStyle w:val="Normal"/>
              <w:widowControl w:val="false"/>
              <w:rPr>
                <w:sz w:val="24"/>
                <w:szCs w:val="24"/>
              </w:rPr>
            </w:pPr>
            <w:r>
              <w:rPr>
                <w:sz w:val="24"/>
                <w:szCs w:val="24"/>
                <w:highlight w:val="green"/>
              </w:rPr>
              <w:t>БИК: 049514608</w:t>
            </w:r>
          </w:p>
          <w:p>
            <w:pPr>
              <w:pStyle w:val="Normal"/>
              <w:widowControl w:val="false"/>
              <w:rPr>
                <w:sz w:val="24"/>
                <w:szCs w:val="24"/>
              </w:rPr>
            </w:pPr>
            <w:r>
              <w:rPr>
                <w:sz w:val="24"/>
                <w:szCs w:val="24"/>
              </w:rPr>
              <w:t>Тел. контактного лица: 8 (39042) _________</w:t>
            </w:r>
          </w:p>
          <w:p>
            <w:pPr>
              <w:pStyle w:val="Normal"/>
              <w:widowControl w:val="false"/>
              <w:rPr>
                <w:sz w:val="24"/>
                <w:szCs w:val="24"/>
              </w:rPr>
            </w:pPr>
            <w:r>
              <w:rPr>
                <w:sz w:val="24"/>
                <w:szCs w:val="24"/>
              </w:rPr>
              <w:t>Тел. приемной: 8 (39042) 7-17-01</w:t>
            </w:r>
          </w:p>
          <w:p>
            <w:pPr>
              <w:pStyle w:val="Normal"/>
              <w:widowControl w:val="false"/>
              <w:rPr>
                <w:rStyle w:val="Hyperlink"/>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5">
              <w:r>
                <w:rPr>
                  <w:rStyle w:val="Hyperlink"/>
                  <w:sz w:val="24"/>
                  <w:szCs w:val="24"/>
                  <w:lang w:val="en-US"/>
                </w:rPr>
                <w:t>sayany</w:t>
              </w:r>
              <w:r>
                <w:rPr>
                  <w:rStyle w:val="Hyperlink"/>
                  <w:sz w:val="24"/>
                  <w:szCs w:val="24"/>
                </w:rPr>
                <w:t>@</w:t>
              </w:r>
              <w:r>
                <w:rPr>
                  <w:rStyle w:val="Hyperlink"/>
                  <w:sz w:val="24"/>
                  <w:szCs w:val="24"/>
                  <w:lang w:val="en-US"/>
                </w:rPr>
                <w:t>rushydro</w:t>
              </w:r>
              <w:r>
                <w:rPr>
                  <w:rStyle w:val="Hyperlink"/>
                  <w:sz w:val="24"/>
                  <w:szCs w:val="24"/>
                </w:rPr>
                <w:t>.</w:t>
              </w:r>
              <w:r>
                <w:rPr>
                  <w:rStyle w:val="Hyperlink"/>
                  <w:sz w:val="24"/>
                  <w:szCs w:val="24"/>
                  <w:lang w:val="en-US"/>
                </w:rPr>
                <w:t>ru</w:t>
              </w:r>
            </w:hyperlink>
          </w:p>
          <w:p>
            <w:pPr>
              <w:pStyle w:val="Normal"/>
              <w:widowControl w:val="false"/>
              <w:rPr>
                <w:sz w:val="22"/>
                <w:szCs w:val="22"/>
              </w:rPr>
            </w:pPr>
            <w:r>
              <w:rPr>
                <w:sz w:val="22"/>
                <w:szCs w:val="22"/>
              </w:rPr>
            </w:r>
            <w:bookmarkStart w:id="9" w:name="_GoBack"/>
            <w:bookmarkStart w:id="10" w:name="_GoBack"/>
            <w:bookmarkEnd w:id="10"/>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6"/>
          <w:footerReference w:type="even" r:id="rId7"/>
          <w:footerReference w:type="default" r:id="rId8"/>
          <w:footerReference w:type="first" r:id="rId9"/>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Style w:val="BodyText"/>
        <w:spacing w:before="120" w:after="0"/>
        <w:ind w:firstLine="567"/>
        <w:jc w:val="right"/>
        <w:rPr>
          <w:b/>
          <w:bCs/>
          <w:color w:val="000000"/>
          <w:sz w:val="24"/>
          <w:szCs w:val="24"/>
        </w:rPr>
      </w:pPr>
      <w:r>
        <w:rPr>
          <w:b/>
          <w:bCs/>
          <w:color w:val="000000"/>
          <w:sz w:val="24"/>
          <w:szCs w:val="24"/>
        </w:rPr>
      </w:r>
    </w:p>
    <w:p>
      <w:pPr>
        <w:pStyle w:val="BodyText"/>
        <w:numPr>
          <w:ilvl w:val="0"/>
          <w:numId w:val="0"/>
        </w:numPr>
        <w:spacing w:before="0" w:after="120"/>
        <w:ind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firstLine="567"/>
        <w:jc w:val="center"/>
        <w:outlineLvl w:val="0"/>
        <w:rPr>
          <w:b/>
          <w:sz w:val="24"/>
          <w:szCs w:val="24"/>
        </w:rPr>
      </w:pPr>
      <w:r>
        <w:rPr>
          <w:b/>
          <w:sz w:val="24"/>
          <w:szCs w:val="24"/>
        </w:rPr>
      </w:r>
    </w:p>
    <w:p>
      <w:pPr>
        <w:pStyle w:val="Normal"/>
        <w:numPr>
          <w:ilvl w:val="0"/>
          <w:numId w:val="0"/>
        </w:numPr>
        <w:spacing w:before="0" w:after="120"/>
        <w:ind w:firstLine="567"/>
        <w:jc w:val="center"/>
        <w:outlineLvl w:val="0"/>
        <w:rPr>
          <w:b/>
          <w:sz w:val="24"/>
          <w:szCs w:val="24"/>
        </w:rPr>
      </w:pPr>
      <w:r>
        <w:rPr>
          <w:b/>
          <w:sz w:val="24"/>
          <w:szCs w:val="24"/>
        </w:rPr>
        <w:t>Спецификация №__</w:t>
      </w:r>
    </w:p>
    <w:p>
      <w:pPr>
        <w:pStyle w:val="Normal"/>
        <w:numPr>
          <w:ilvl w:val="0"/>
          <w:numId w:val="0"/>
        </w:numPr>
        <w:spacing w:before="0" w:after="120"/>
        <w:ind w:firstLine="567"/>
        <w:jc w:val="center"/>
        <w:outlineLvl w:val="0"/>
        <w:rPr>
          <w:b/>
          <w:sz w:val="24"/>
          <w:szCs w:val="24"/>
        </w:rPr>
      </w:pPr>
      <w:r>
        <w:rPr>
          <w:b/>
          <w:sz w:val="24"/>
          <w:szCs w:val="24"/>
        </w:rPr>
      </w:r>
    </w:p>
    <w:p>
      <w:pPr>
        <w:pStyle w:val="Normal"/>
        <w:numPr>
          <w:ilvl w:val="0"/>
          <w:numId w:val="0"/>
        </w:numPr>
        <w:spacing w:before="0" w:after="120"/>
        <w:ind w:firstLine="567"/>
        <w:jc w:val="center"/>
        <w:outlineLvl w:val="0"/>
        <w:rPr>
          <w:b/>
          <w:i/>
          <w:i/>
          <w:color w:val="FF0000"/>
          <w:sz w:val="22"/>
          <w:szCs w:val="22"/>
        </w:rPr>
      </w:pPr>
      <w:r>
        <w:rPr>
          <w:b/>
          <w:i/>
          <w:color w:val="FF0000"/>
          <w:sz w:val="22"/>
          <w:szCs w:val="22"/>
        </w:rPr>
      </w:r>
    </w:p>
    <w:tbl>
      <w:tblPr>
        <w:tblW w:w="10349" w:type="dxa"/>
        <w:jc w:val="left"/>
        <w:tblInd w:w="-175" w:type="dxa"/>
        <w:tblLayout w:type="fixed"/>
        <w:tblCellMar>
          <w:top w:w="0" w:type="dxa"/>
          <w:left w:w="108" w:type="dxa"/>
          <w:bottom w:w="0" w:type="dxa"/>
          <w:right w:w="108" w:type="dxa"/>
        </w:tblCellMar>
        <w:tblLook w:noVBand="1" w:val="04a0" w:noHBand="0" w:lastColumn="0" w:firstColumn="1" w:lastRow="0" w:firstRow="1"/>
      </w:tblPr>
      <w:tblGrid>
        <w:gridCol w:w="989"/>
        <w:gridCol w:w="1704"/>
        <w:gridCol w:w="1844"/>
        <w:gridCol w:w="708"/>
        <w:gridCol w:w="708"/>
        <w:gridCol w:w="994"/>
        <w:gridCol w:w="1842"/>
        <w:gridCol w:w="1558"/>
      </w:tblGrid>
      <w:tr>
        <w:trPr>
          <w:trHeight w:val="510" w:hRule="atLeast"/>
        </w:trPr>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 страна</w:t>
            </w:r>
            <w:r>
              <w:rPr>
                <w:sz w:val="24"/>
                <w:szCs w:val="24"/>
              </w:rPr>
              <w:t xml:space="preserve"> </w:t>
            </w:r>
            <w:r>
              <w:rPr>
                <w:sz w:val="22"/>
                <w:szCs w:val="22"/>
              </w:rPr>
              <w:t>происхождения Продукции / цифровой код страны</w:t>
            </w:r>
            <w:r>
              <w:rPr>
                <w:bCs/>
                <w:sz w:val="22"/>
                <w:szCs w:val="24"/>
              </w:rPr>
              <w:t>, наименование производителя</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84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99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55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84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99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55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8789"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55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8789"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55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6"/>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w:t>
      </w:r>
      <w:r>
        <w:rPr>
          <w:sz w:val="20"/>
        </w:rPr>
        <w:t>По требованию Покупателя Поставщик обязан представить запрашиваемую информацию/документы, расчеты, обосновывающие стоимость доставки Продукции</w:t>
      </w:r>
      <w:r>
        <w:rPr>
          <w:sz w:val="24"/>
          <w:szCs w:val="24"/>
        </w:rPr>
        <w:t>.</w:t>
      </w:r>
    </w:p>
    <w:p>
      <w:pPr>
        <w:pStyle w:val="Normal"/>
        <w:spacing w:before="0" w:after="120"/>
        <w:jc w:val="both"/>
        <w:rPr>
          <w:color w:val="1F497D"/>
          <w:sz w:val="24"/>
          <w:szCs w:val="24"/>
        </w:rPr>
      </w:pPr>
      <w:r>
        <w:rPr>
          <w:color w:val="1F497D"/>
          <w:sz w:val="24"/>
          <w:szCs w:val="24"/>
        </w:rPr>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sectPr>
          <w:headerReference w:type="default" r:id="rId10"/>
          <w:headerReference w:type="first" r:id="rId11"/>
          <w:footerReference w:type="even" r:id="rId12"/>
          <w:footerReference w:type="default" r:id="rId13"/>
          <w:footerReference w:type="first" r:id="rId14"/>
          <w:footnotePr>
            <w:numFmt w:val="decimal"/>
          </w:footnotePr>
          <w:type w:val="nextPage"/>
          <w:pgSz w:w="11906" w:h="16838"/>
          <w:pgMar w:left="1134" w:right="707" w:gutter="0" w:header="720" w:top="1134" w:footer="720" w:bottom="1134"/>
          <w:pgNumType w:fmt="decimal"/>
          <w:formProt w:val="false"/>
          <w:textDirection w:val="lrTb"/>
          <w:docGrid w:type="default" w:linePitch="100" w:charSpace="8192"/>
        </w:sectPr>
        <w:pStyle w:val="Normal"/>
        <w:spacing w:before="0" w:after="120"/>
        <w:rPr>
          <w:sz w:val="22"/>
          <w:szCs w:val="22"/>
        </w:rPr>
      </w:pPr>
      <w:r>
        <w:rPr>
          <w:sz w:val="22"/>
          <w:szCs w:val="22"/>
        </w:rPr>
      </w:r>
      <w:r>
        <w:br w:type="page"/>
      </w:r>
    </w:p>
    <w:p>
      <w:pPr>
        <w:pStyle w:val="BodyText"/>
        <w:numPr>
          <w:ilvl w:val="0"/>
          <w:numId w:val="0"/>
        </w:numPr>
        <w:spacing w:before="0" w:after="120"/>
        <w:ind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firstLine="567"/>
        <w:jc w:val="center"/>
        <w:outlineLvl w:val="0"/>
        <w:rPr>
          <w:b/>
          <w:sz w:val="24"/>
          <w:szCs w:val="24"/>
          <w:u w:val="single"/>
        </w:rPr>
      </w:pPr>
      <w:r>
        <w:rPr>
          <w:b/>
          <w:sz w:val="24"/>
          <w:szCs w:val="24"/>
          <w:u w:val="single"/>
        </w:rPr>
        <w:t>ФОРМА</w:t>
      </w:r>
    </w:p>
    <w:p>
      <w:pPr>
        <w:pStyle w:val="Normal"/>
        <w:numPr>
          <w:ilvl w:val="0"/>
          <w:numId w:val="0"/>
        </w:numPr>
        <w:spacing w:before="0" w:after="120"/>
        <w:ind w:firstLine="567"/>
        <w:jc w:val="center"/>
        <w:outlineLvl w:val="0"/>
        <w:rPr>
          <w:b/>
          <w:sz w:val="24"/>
          <w:szCs w:val="24"/>
          <w:u w:val="single"/>
        </w:rPr>
      </w:pPr>
      <w:r>
        <w:rPr>
          <w:b/>
          <w:sz w:val="24"/>
          <w:szCs w:val="24"/>
        </w:rPr>
        <w:t>Заявки-спецификации</w:t>
      </w:r>
    </w:p>
    <w:p>
      <w:pPr>
        <w:pStyle w:val="Normal"/>
        <w:numPr>
          <w:ilvl w:val="0"/>
          <w:numId w:val="0"/>
        </w:numPr>
        <w:spacing w:before="0" w:after="120"/>
        <w:ind w:firstLine="567"/>
        <w:outlineLvl w:val="0"/>
        <w:rPr>
          <w:b/>
          <w:sz w:val="24"/>
          <w:szCs w:val="24"/>
        </w:rPr>
      </w:pPr>
      <w:r>
        <w:rPr>
          <w:b/>
          <w:sz w:val="24"/>
          <w:szCs w:val="24"/>
        </w:rPr>
        <mc:AlternateContent>
          <mc:Choice Requires="wps">
            <w:drawing>
              <wp:anchor behindDoc="0" distT="0" distB="19050" distL="0" distR="15240" simplePos="0" locked="0" layoutInCell="0" allowOverlap="1" relativeHeight="2" wp14:anchorId="65B23726">
                <wp:simplePos x="0" y="0"/>
                <wp:positionH relativeFrom="column">
                  <wp:posOffset>-110490</wp:posOffset>
                </wp:positionH>
                <wp:positionV relativeFrom="paragraph">
                  <wp:posOffset>109855</wp:posOffset>
                </wp:positionV>
                <wp:extent cx="6118860" cy="635"/>
                <wp:effectExtent l="6985" t="6350" r="6985" b="6350"/>
                <wp:wrapNone/>
                <wp:docPr id="7" name="Прямая соединительная линия 1"/>
                <a:graphic xmlns:a="http://schemas.openxmlformats.org/drawingml/2006/main">
                  <a:graphicData uri="http://schemas.microsoft.com/office/word/2010/wordprocessingShape">
                    <wps:wsp>
                      <wps:cNvSpPr/>
                      <wps:spPr>
                        <a:xfrm>
                          <a:off x="0" y="0"/>
                          <a:ext cx="6118920" cy="720"/>
                        </a:xfrm>
                        <a:prstGeom prst="line">
                          <a:avLst/>
                        </a:prstGeom>
                        <a:ln w="1270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8.7pt,8.65pt" to="473.05pt,8.65pt" ID="Прямая соединительная линия 1" stroked="t" o:allowincell="f" style="position:absolute" wp14:anchorId="65B23726">
                <v:stroke color="black" weight="12600" joinstyle="round" endcap="flat"/>
                <v:fill o:detectmouseclick="t" on="false"/>
                <w10:wrap type="none"/>
              </v:line>
            </w:pict>
          </mc:Fallback>
        </mc:AlternateContent>
      </w:r>
    </w:p>
    <w:tbl>
      <w:tblPr>
        <w:tblStyle w:val="af"/>
        <w:tblW w:w="1003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076"/>
        <w:gridCol w:w="5954"/>
      </w:tblGrid>
      <w:tr>
        <w:trPr/>
        <w:tc>
          <w:tcPr>
            <w:tcW w:w="4076" w:type="dxa"/>
            <w:tcBorders>
              <w:top w:val="nil"/>
              <w:left w:val="nil"/>
              <w:bottom w:val="nil"/>
              <w:right w:val="nil"/>
            </w:tcBorders>
          </w:tcPr>
          <w:p>
            <w:pPr>
              <w:pStyle w:val="Normal"/>
              <w:widowControl/>
              <w:numPr>
                <w:ilvl w:val="0"/>
                <w:numId w:val="0"/>
              </w:numPr>
              <w:spacing w:before="0" w:after="120"/>
              <w:jc w:val="left"/>
              <w:outlineLvl w:val="0"/>
              <w:rPr>
                <w:b/>
                <w:sz w:val="24"/>
                <w:szCs w:val="24"/>
              </w:rPr>
            </w:pPr>
            <w:r>
              <w:rPr>
                <w:rFonts w:eastAsia="Times New Roman" w:cs="Times New Roman"/>
                <w:b/>
                <w:kern w:val="0"/>
                <w:sz w:val="24"/>
                <w:szCs w:val="24"/>
                <w:lang w:val="ru-RU" w:eastAsia="ru-RU" w:bidi="ar-SA"/>
              </w:rPr>
            </w:r>
          </w:p>
          <w:p>
            <w:pPr>
              <w:pStyle w:val="Normal"/>
              <w:widowControl/>
              <w:numPr>
                <w:ilvl w:val="0"/>
                <w:numId w:val="0"/>
              </w:numPr>
              <w:spacing w:before="0" w:after="120"/>
              <w:jc w:val="left"/>
              <w:outlineLvl w:val="0"/>
              <w:rPr>
                <w:b/>
                <w:sz w:val="24"/>
                <w:szCs w:val="24"/>
              </w:rPr>
            </w:pPr>
            <w:r>
              <w:rPr>
                <w:rFonts w:eastAsia="Times New Roman" w:cs="Times New Roman"/>
                <w:b/>
                <w:kern w:val="0"/>
                <w:sz w:val="24"/>
                <w:szCs w:val="24"/>
                <w:lang w:val="ru-RU" w:eastAsia="ru-RU" w:bidi="ar-SA"/>
              </w:rPr>
            </w:r>
          </w:p>
          <w:p>
            <w:pPr>
              <w:pStyle w:val="Normal"/>
              <w:widowControl/>
              <w:numPr>
                <w:ilvl w:val="0"/>
                <w:numId w:val="0"/>
              </w:numPr>
              <w:spacing w:before="0" w:after="120"/>
              <w:jc w:val="left"/>
              <w:outlineLvl w:val="0"/>
              <w:rPr>
                <w:b/>
                <w:sz w:val="24"/>
                <w:szCs w:val="24"/>
              </w:rPr>
            </w:pPr>
            <w:r>
              <w:rPr>
                <w:rFonts w:eastAsia="Times New Roman" w:cs="Times New Roman"/>
                <w:b/>
                <w:kern w:val="0"/>
                <w:sz w:val="24"/>
                <w:szCs w:val="24"/>
                <w:lang w:val="ru-RU" w:eastAsia="ru-RU" w:bidi="ar-SA"/>
              </w:rPr>
            </w:r>
          </w:p>
        </w:tc>
        <w:tc>
          <w:tcPr>
            <w:tcW w:w="5954" w:type="dxa"/>
            <w:tcBorders>
              <w:top w:val="nil"/>
              <w:left w:val="nil"/>
              <w:bottom w:val="nil"/>
              <w:right w:val="nil"/>
            </w:tcBorders>
          </w:tcPr>
          <w:p>
            <w:pPr>
              <w:pStyle w:val="Normal"/>
              <w:widowControl/>
              <w:numPr>
                <w:ilvl w:val="0"/>
                <w:numId w:val="0"/>
              </w:numPr>
              <w:spacing w:before="0" w:after="0"/>
              <w:jc w:val="right"/>
              <w:outlineLvl w:val="0"/>
              <w:rPr>
                <w:b/>
                <w:sz w:val="24"/>
                <w:szCs w:val="24"/>
              </w:rPr>
            </w:pPr>
            <w:r>
              <w:rPr>
                <w:rFonts w:eastAsia="Times New Roman" w:cs="Times New Roman"/>
                <w:b/>
                <w:kern w:val="0"/>
                <w:sz w:val="24"/>
                <w:szCs w:val="24"/>
                <w:lang w:val="ru-RU" w:eastAsia="ru-RU" w:bidi="ar-SA"/>
              </w:rPr>
              <w:t>Приложение № _____</w:t>
            </w:r>
          </w:p>
          <w:p>
            <w:pPr>
              <w:pStyle w:val="BodyText"/>
              <w:widowControl/>
              <w:spacing w:before="0" w:after="0"/>
              <w:ind w:firstLine="567"/>
              <w:jc w:val="right"/>
              <w:rPr>
                <w:bCs/>
                <w:sz w:val="24"/>
                <w:szCs w:val="24"/>
              </w:rPr>
            </w:pPr>
            <w:r>
              <w:rPr>
                <w:rFonts w:eastAsia="Times New Roman" w:cs="Times New Roman"/>
                <w:bCs/>
                <w:kern w:val="0"/>
                <w:sz w:val="24"/>
                <w:szCs w:val="24"/>
                <w:lang w:val="ru-RU" w:eastAsia="ru-RU" w:bidi="ar-SA"/>
              </w:rPr>
              <w:t>от «___» _________ ______ г.</w:t>
            </w:r>
          </w:p>
          <w:p>
            <w:pPr>
              <w:pStyle w:val="BodyText"/>
              <w:widowControl/>
              <w:spacing w:before="0" w:after="0"/>
              <w:ind w:firstLine="567"/>
              <w:jc w:val="right"/>
              <w:rPr>
                <w:bCs/>
                <w:sz w:val="24"/>
                <w:szCs w:val="24"/>
              </w:rPr>
            </w:pPr>
            <w:r>
              <w:rPr>
                <w:rFonts w:eastAsia="Times New Roman" w:cs="Times New Roman"/>
                <w:bCs/>
                <w:kern w:val="0"/>
                <w:sz w:val="24"/>
                <w:szCs w:val="24"/>
                <w:lang w:val="ru-RU" w:eastAsia="ru-RU" w:bidi="ar-SA"/>
              </w:rPr>
              <w:t>к договору поставки № _____ от _____ г.</w:t>
            </w:r>
          </w:p>
          <w:p>
            <w:pPr>
              <w:pStyle w:val="Normal"/>
              <w:widowControl/>
              <w:numPr>
                <w:ilvl w:val="0"/>
                <w:numId w:val="0"/>
              </w:numPr>
              <w:spacing w:before="0" w:after="120"/>
              <w:jc w:val="right"/>
              <w:outlineLvl w:val="0"/>
              <w:rPr>
                <w:b/>
                <w:sz w:val="24"/>
                <w:szCs w:val="24"/>
              </w:rPr>
            </w:pPr>
            <w:r>
              <w:rPr>
                <w:rFonts w:eastAsia="Times New Roman" w:cs="Times New Roman"/>
                <w:b/>
                <w:kern w:val="0"/>
                <w:sz w:val="24"/>
                <w:szCs w:val="24"/>
                <w:lang w:val="ru-RU" w:eastAsia="ru-RU" w:bidi="ar-SA"/>
              </w:rPr>
            </w:r>
          </w:p>
        </w:tc>
      </w:tr>
    </w:tbl>
    <w:p>
      <w:pPr>
        <w:pStyle w:val="Normal"/>
        <w:numPr>
          <w:ilvl w:val="0"/>
          <w:numId w:val="0"/>
        </w:numPr>
        <w:spacing w:before="0" w:after="120"/>
        <w:ind w:firstLine="567"/>
        <w:jc w:val="center"/>
        <w:outlineLvl w:val="0"/>
        <w:rPr>
          <w:b/>
          <w:sz w:val="24"/>
          <w:szCs w:val="24"/>
        </w:rPr>
      </w:pPr>
      <w:r>
        <w:rPr>
          <w:b/>
          <w:sz w:val="24"/>
          <w:szCs w:val="24"/>
        </w:rPr>
        <w:t>Заявка-спецификация №__</w:t>
      </w:r>
    </w:p>
    <w:tbl>
      <w:tblPr>
        <w:tblW w:w="1003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39"/>
        <w:gridCol w:w="1621"/>
        <w:gridCol w:w="2427"/>
        <w:gridCol w:w="673"/>
        <w:gridCol w:w="776"/>
        <w:gridCol w:w="1918"/>
        <w:gridCol w:w="1676"/>
      </w:tblGrid>
      <w:tr>
        <w:trPr>
          <w:trHeight w:val="507" w:hRule="atLeast"/>
        </w:trPr>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2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2"/>
                <w:szCs w:val="24"/>
              </w:rPr>
            </w:pPr>
            <w:r>
              <w:rPr>
                <w:bCs/>
                <w:sz w:val="22"/>
                <w:szCs w:val="24"/>
              </w:rPr>
              <w:t>Характеристики продукции,</w:t>
            </w:r>
          </w:p>
          <w:p>
            <w:pPr>
              <w:pStyle w:val="Normal"/>
              <w:widowControl w:val="false"/>
              <w:jc w:val="center"/>
              <w:rPr>
                <w:bCs/>
                <w:sz w:val="22"/>
                <w:szCs w:val="24"/>
              </w:rPr>
            </w:pPr>
            <w:r>
              <w:rPr>
                <w:bCs/>
                <w:sz w:val="22"/>
                <w:szCs w:val="24"/>
              </w:rPr>
              <w:t xml:space="preserve">страна </w:t>
            </w:r>
            <w:r>
              <w:rPr>
                <w:sz w:val="22"/>
                <w:szCs w:val="22"/>
              </w:rPr>
              <w:t>происхождения Продукции / цифровой код страны</w:t>
            </w:r>
            <w:r>
              <w:rPr>
                <w:bCs/>
                <w:sz w:val="22"/>
                <w:szCs w:val="24"/>
              </w:rPr>
              <w:t>, наименование производителя</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0" w:hRule="atLeast"/>
        </w:trPr>
        <w:tc>
          <w:tcPr>
            <w:tcW w:w="9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242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0" w:hRule="atLeast"/>
        </w:trPr>
        <w:tc>
          <w:tcPr>
            <w:tcW w:w="9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242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120" w:after="120"/>
        <w:ind w:firstLine="567"/>
        <w:rPr>
          <w:b/>
          <w:bCs/>
          <w:i/>
          <w:i/>
          <w:sz w:val="24"/>
          <w:szCs w:val="24"/>
        </w:rPr>
      </w:pPr>
      <w:r>
        <w:rPr>
          <w:b/>
          <w:bCs/>
          <w:i/>
          <w:sz w:val="24"/>
          <w:szCs w:val="24"/>
        </w:rPr>
        <w:t>Условия поставки:</w:t>
      </w:r>
    </w:p>
    <w:p>
      <w:pPr>
        <w:pStyle w:val="Normal"/>
        <w:widowControl w:val="false"/>
        <w:numPr>
          <w:ilvl w:val="0"/>
          <w:numId w:val="11"/>
        </w:numPr>
        <w:tabs>
          <w:tab w:val="left" w:pos="720" w:leader="none"/>
        </w:tabs>
        <w:spacing w:before="0" w:after="120"/>
        <w:jc w:val="both"/>
        <w:rPr>
          <w:i/>
          <w:i/>
          <w:sz w:val="24"/>
          <w:szCs w:val="24"/>
        </w:rPr>
      </w:pPr>
      <w:r>
        <w:rPr>
          <w:bCs/>
          <w:sz w:val="24"/>
          <w:szCs w:val="24"/>
        </w:rPr>
        <w:t>Общая сумма Заявки-спецификации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i/>
          <w:sz w:val="24"/>
          <w:szCs w:val="24"/>
        </w:rPr>
        <w:t>.</w:t>
      </w:r>
    </w:p>
    <w:p>
      <w:pPr>
        <w:pStyle w:val="Normal"/>
        <w:widowControl w:val="false"/>
        <w:numPr>
          <w:ilvl w:val="0"/>
          <w:numId w:val="11"/>
        </w:numPr>
        <w:tabs>
          <w:tab w:val="left" w:pos="720" w:leader="none"/>
        </w:tabs>
        <w:spacing w:before="0" w:after="120"/>
        <w:ind w:left="0" w:firstLine="284"/>
        <w:jc w:val="both"/>
        <w:rPr>
          <w:sz w:val="24"/>
          <w:szCs w:val="24"/>
        </w:rPr>
      </w:pPr>
      <w:r>
        <w:rPr>
          <w:sz w:val="24"/>
          <w:szCs w:val="24"/>
        </w:rPr>
        <w:t>Срок поставки Продукции: до «______» ____________ 201_г..</w:t>
      </w:r>
    </w:p>
    <w:p>
      <w:pPr>
        <w:pStyle w:val="Normal"/>
        <w:widowControl w:val="false"/>
        <w:numPr>
          <w:ilvl w:val="0"/>
          <w:numId w:val="11"/>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outlineLvl w:val="0"/>
        <w:rPr>
          <w:b/>
          <w:bCs/>
          <w:sz w:val="24"/>
          <w:szCs w:val="24"/>
        </w:rPr>
      </w:pPr>
      <w:r>
        <w:rPr>
          <w:b/>
          <w:bCs/>
          <w:sz w:val="24"/>
          <w:szCs w:val="24"/>
        </w:rPr>
        <mc:AlternateContent>
          <mc:Choice Requires="wps">
            <w:drawing>
              <wp:anchor behindDoc="0" distT="0" distB="19050" distL="0" distR="19050" simplePos="0" locked="0" layoutInCell="0" allowOverlap="1" relativeHeight="3" wp14:anchorId="26E98FA8">
                <wp:simplePos x="0" y="0"/>
                <wp:positionH relativeFrom="column">
                  <wp:posOffset>147955</wp:posOffset>
                </wp:positionH>
                <wp:positionV relativeFrom="paragraph">
                  <wp:posOffset>1155700</wp:posOffset>
                </wp:positionV>
                <wp:extent cx="5943600" cy="635"/>
                <wp:effectExtent l="6350" t="6985" r="6985" b="6350"/>
                <wp:wrapNone/>
                <wp:docPr id="8"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1.65pt,91pt" to="479.6pt,91pt" ID="Прямая соединительная линия 2" stroked="t" o:allowincell="f" style="position:absolute" wp14:anchorId="26E98FA8">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r>
    </w:p>
    <w:sectPr>
      <w:headerReference w:type="default" r:id="rId15"/>
      <w:headerReference w:type="first" r:id="rId16"/>
      <w:footerReference w:type="default" r:id="rId17"/>
      <w:footerReference w:type="first" r:id="rId18"/>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127635" cy="146685"/>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127635" cy="146685"/>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4"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127635" cy="146685"/>
              <wp:effectExtent l="0" t="0" r="0" b="0"/>
              <wp:wrapSquare wrapText="bothSides"/>
              <wp:docPr id="5"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2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127635" cy="146685"/>
              <wp:effectExtent l="0" t="0" r="0" b="0"/>
              <wp:wrapSquare wrapText="bothSides"/>
              <wp:docPr id="6"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2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3">
              <wp:simplePos x="0" y="0"/>
              <wp:positionH relativeFrom="margin">
                <wp:align>right</wp:align>
              </wp:positionH>
              <wp:positionV relativeFrom="paragraph">
                <wp:posOffset>635</wp:posOffset>
              </wp:positionV>
              <wp:extent cx="127635" cy="146685"/>
              <wp:effectExtent l="0" t="0" r="0" b="0"/>
              <wp:wrapSquare wrapText="bothSides"/>
              <wp:docPr id="9" name="Врезка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highlight w:val="yellow"/>
        </w:rPr>
        <w:t xml:space="preserve"> </w:t>
      </w:r>
      <w:r>
        <w:rPr>
          <w:highlight w:val="yellow"/>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1">
    <w:lvl w:ilvl="0">
      <w:start w:val="1"/>
      <w:numFmt w:val="decimal"/>
      <w:lvlText w:val="%1."/>
      <w:lvlJc w:val="left"/>
      <w:pPr>
        <w:tabs>
          <w:tab w:val="num" w:pos="644"/>
        </w:tabs>
        <w:ind w:left="644"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8"/>
    <w:lvlOverride w:ilvl="0">
      <w:startOverride w:val="1"/>
    </w:lvlOverride>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a560b3"/>
    <w:rPr/>
  </w:style>
  <w:style w:type="character" w:styleId="EndnoteReference">
    <w:name w:val="Endnote Reference"/>
    <w:rPr>
      <w:vertAlign w:val="superscript"/>
    </w:rPr>
  </w:style>
  <w:style w:type="character" w:styleId="Style13">
    <w:name w:val="Символ концевой сноски"/>
    <w:qForma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sayany@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7749D-FF80-4463-82EB-29025615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Application>AlterOffice/3.4.0.9$Linux_X86_64 LibreOffice_project/b8daf9e823b1a5463a2f48435ddc2e8696e7d4fc</Application>
  <AppVersion>15.0000</AppVersion>
  <Pages>21</Pages>
  <Words>7214</Words>
  <Characters>51251</Characters>
  <CharactersWithSpaces>57956</CharactersWithSpaces>
  <Paragraphs>396</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2017-11-07T14:46:00Z</dcterms:created>
  <dc:creator>Света &amp; Алла (Twix)</dc:creator>
  <dc:description/>
  <dc:language>ru-RU</dc:language>
  <cp:lastModifiedBy>eremyanmv@corp.gidroogk.com</cp:lastModifiedBy>
  <cp:lastPrinted>2017-11-07T14:45:00Z</cp:lastPrinted>
  <dcterms:modified xsi:type="dcterms:W3CDTF">2026-06-02T17:14:30Z</dcterms:modified>
  <cp:revision>45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