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highlight w:val="white"/>
        </w:rPr>
      </w:pPr>
      <w:r>
        <w:rPr>
          <w:highlight w:val="white"/>
        </w:rPr>
      </w:r>
    </w:p>
    <w:p>
      <w:pPr>
        <w:pStyle w:val="Normal"/>
        <w:jc w:val="right"/>
        <w:rPr>
          <w:highlight w:val="white"/>
        </w:rPr>
      </w:pPr>
      <w:r>
        <w:rPr>
          <w:highlight w:val="white"/>
        </w:rPr>
      </w:r>
    </w:p>
    <w:p>
      <w:pPr>
        <w:pStyle w:val="Normal"/>
        <w:jc w:val="right"/>
        <w:rPr>
          <w:highlight w:val="white"/>
        </w:rPr>
      </w:pPr>
      <w:r>
        <w:rPr>
          <w:highlight w:val="white"/>
        </w:rPr>
      </w:r>
    </w:p>
    <w:p>
      <w:pPr>
        <w:pStyle w:val="Normal"/>
        <w:jc w:val="right"/>
        <w:rPr>
          <w:highlight w:val="white"/>
        </w:rPr>
      </w:pPr>
      <w:r>
        <w:rPr>
          <w:highlight w:val="white"/>
        </w:rPr>
      </w:r>
    </w:p>
    <w:p>
      <w:pPr>
        <w:pStyle w:val="Normal"/>
        <w:jc w:val="right"/>
        <w:rPr>
          <w:highlight w:val="white"/>
        </w:rPr>
      </w:pPr>
      <w:r>
        <w:rPr>
          <w:highlight w:val="white"/>
        </w:rPr>
      </w:r>
    </w:p>
    <w:p>
      <w:pPr>
        <w:pStyle w:val="Normal"/>
        <w:jc w:val="right"/>
        <w:rPr>
          <w:highlight w:val="white"/>
        </w:rPr>
      </w:pPr>
      <w:r>
        <w:rPr>
          <w:highlight w:val="white"/>
        </w:rPr>
      </w:r>
    </w:p>
    <w:p>
      <w:pPr>
        <w:pStyle w:val="Normal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120"/>
        <w:jc w:val="center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ОКПД2 28.13.32.120 </w:t>
      </w:r>
      <w:r>
        <w:rPr>
          <w:sz w:val="26"/>
          <w:szCs w:val="26"/>
        </w:rPr>
        <w:t>Поставка запасных частей для ремонта компрессорного оборудования Филиала ПАО "РусГидро"-"Жигулевская ГЭС"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120"/>
        <w:jc w:val="center"/>
        <w:rPr>
          <w:sz w:val="26"/>
          <w:szCs w:val="26"/>
        </w:rPr>
      </w:pPr>
      <w:r>
        <w:rPr>
          <w:sz w:val="26"/>
          <w:szCs w:val="26"/>
        </w:rPr>
        <w:t>(компрессоры 1ВВ-40/9В)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120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327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7159_4263782815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327"/>
              <w:tab w:val="right" w:pos="9921" w:leader="dot"/>
            </w:tabs>
            <w:rPr/>
          </w:pPr>
          <w:hyperlink w:anchor="__RefHeading___Toc7161_4263782815">
            <w:r>
              <w:rPr>
                <w:webHidden/>
                <w:rStyle w:val="Style14"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327"/>
              <w:tab w:val="right" w:pos="9921" w:leader="dot"/>
            </w:tabs>
            <w:rPr/>
          </w:pPr>
          <w:hyperlink w:anchor="__RefHeading___Toc7163_4263782815">
            <w:r>
              <w:rPr>
                <w:webHidden/>
                <w:rStyle w:val="Style14"/>
                <w:vanish w:val="false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327"/>
              <w:tab w:val="right" w:pos="9921" w:leader="dot"/>
            </w:tabs>
            <w:rPr/>
          </w:pPr>
          <w:hyperlink w:anchor="__RefHeading___Toc7165_4263782815">
            <w:r>
              <w:rPr>
                <w:webHidden/>
                <w:rStyle w:val="Style14"/>
                <w:vanish w:val="false"/>
              </w:rPr>
              <w:t>1.3. Цель использования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327"/>
              <w:tab w:val="right" w:pos="9921" w:leader="dot"/>
            </w:tabs>
            <w:rPr/>
          </w:pPr>
          <w:hyperlink w:anchor="__RefHeading___Toc7167_4263782815">
            <w:r>
              <w:rPr>
                <w:webHidden/>
                <w:rStyle w:val="Style14"/>
                <w:vanish w:val="false"/>
              </w:rPr>
              <w:t>1.4. Существующее положение</w:t>
              <w:tab/>
              <w:t>4</w:t>
            </w:r>
          </w:hyperlink>
        </w:p>
        <w:p>
          <w:pPr>
            <w:pStyle w:val="TOC1"/>
            <w:tabs>
              <w:tab w:val="clear" w:pos="327"/>
              <w:tab w:val="right" w:pos="9921" w:leader="dot"/>
            </w:tabs>
            <w:rPr/>
          </w:pPr>
          <w:hyperlink w:anchor="__RefHeading___Toc7169_4263782815">
            <w:r>
              <w:rPr>
                <w:webHidden/>
                <w:rStyle w:val="Style14"/>
                <w:vanish w:val="false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  <w:t>4</w:t>
            </w:r>
          </w:hyperlink>
        </w:p>
        <w:p>
          <w:pPr>
            <w:pStyle w:val="TOC4"/>
            <w:tabs>
              <w:tab w:val="clear" w:pos="327"/>
              <w:tab w:val="right" w:pos="9921" w:leader="dot"/>
            </w:tabs>
            <w:rPr/>
          </w:pPr>
          <w:hyperlink w:anchor="__RefHeading___Toc7171_4263782815">
            <w:r>
              <w:rPr>
                <w:webHidden/>
                <w:rStyle w:val="Style14"/>
                <w:vanish w:val="false"/>
              </w:rPr>
              <w:t>2.1. Требования к объемам и срокам поставки</w:t>
              <w:tab/>
              <w:t>4</w:t>
            </w:r>
          </w:hyperlink>
        </w:p>
        <w:p>
          <w:pPr>
            <w:pStyle w:val="TOC3"/>
            <w:tabs>
              <w:tab w:val="clear" w:pos="327"/>
              <w:tab w:val="right" w:pos="9921" w:leader="dot"/>
            </w:tabs>
            <w:rPr/>
          </w:pPr>
          <w:hyperlink w:anchor="__RefHeading___Toc7173_4263782815">
            <w:r>
              <w:rPr>
                <w:webHidden/>
                <w:rStyle w:val="Style14"/>
                <w:vanish w:val="false"/>
              </w:rPr>
              <w:t>2.1.1. Перечень и объем закупаемой продукции</w:t>
              <w:tab/>
              <w:t>4</w:t>
            </w:r>
          </w:hyperlink>
        </w:p>
        <w:p>
          <w:pPr>
            <w:pStyle w:val="TOC1"/>
            <w:tabs>
              <w:tab w:val="clear" w:pos="327"/>
              <w:tab w:val="right" w:pos="9921" w:leader="dot"/>
            </w:tabs>
            <w:rPr/>
          </w:pPr>
          <w:hyperlink w:anchor="__RefHeading___Toc7175_4263782815"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  <w:t>4</w:t>
            </w:r>
          </w:hyperlink>
        </w:p>
        <w:p>
          <w:pPr>
            <w:pStyle w:val="TOC3"/>
            <w:tabs>
              <w:tab w:val="clear" w:pos="327"/>
              <w:tab w:val="right" w:pos="9921" w:leader="dot"/>
            </w:tabs>
            <w:rPr/>
          </w:pPr>
          <w:hyperlink w:anchor="__RefHeading___Toc7181_4263782815">
            <w:r>
              <w:rPr>
                <w:webHidden/>
                <w:rStyle w:val="Style14"/>
                <w:vanish w:val="false"/>
              </w:rPr>
              <w:t>2.1.2. Требования к срокам поставки продукции и оказания сопутствующих услуг</w:t>
              <w:tab/>
              <w:t>6</w:t>
            </w:r>
          </w:hyperlink>
        </w:p>
        <w:p>
          <w:pPr>
            <w:pStyle w:val="TOC1"/>
            <w:tabs>
              <w:tab w:val="clear" w:pos="327"/>
              <w:tab w:val="right" w:pos="9921" w:leader="dot"/>
            </w:tabs>
            <w:rPr/>
          </w:pPr>
          <w:hyperlink w:anchor="__RefHeading___Toc7183_4263782815"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6</w:t>
            </w:r>
          </w:hyperlink>
        </w:p>
        <w:p>
          <w:pPr>
            <w:pStyle w:val="TOC4"/>
            <w:tabs>
              <w:tab w:val="clear" w:pos="327"/>
              <w:tab w:val="right" w:pos="9921" w:leader="dot"/>
            </w:tabs>
            <w:rPr/>
          </w:pPr>
          <w:hyperlink w:anchor="__RefHeading___Toc7185_4263782815">
            <w:r>
              <w:rPr>
                <w:webHidden/>
                <w:rStyle w:val="Style14"/>
                <w:vanish w:val="false"/>
              </w:rPr>
              <w:t>2.2. Требования к качеству продукции</w:t>
              <w:tab/>
              <w:t>7</w:t>
            </w:r>
          </w:hyperlink>
        </w:p>
        <w:p>
          <w:pPr>
            <w:pStyle w:val="TOC1"/>
            <w:tabs>
              <w:tab w:val="clear" w:pos="327"/>
              <w:tab w:val="right" w:pos="9921" w:leader="dot"/>
            </w:tabs>
            <w:rPr/>
          </w:pPr>
          <w:hyperlink w:anchor="__RefHeading___Toc7187_4263782815">
            <w:r>
              <w:rPr>
                <w:webHidden/>
                <w:rStyle w:val="Style14"/>
                <w:vanish w:val="false"/>
              </w:rPr>
              <w:t xml:space="preserve"> </w:t>
            </w:r>
            <w:r>
              <w:rPr>
                <w:rStyle w:val="Style14"/>
              </w:rPr>
              <w:t>Таблица 3. Требования к продукции</w:t>
              <w:tab/>
              <w:t>7</w:t>
            </w:r>
          </w:hyperlink>
        </w:p>
        <w:p>
          <w:pPr>
            <w:pStyle w:val="TOC1"/>
            <w:tabs>
              <w:tab w:val="clear" w:pos="327"/>
              <w:tab w:val="right" w:pos="9921" w:leader="dot"/>
            </w:tabs>
            <w:rPr/>
          </w:pPr>
          <w:hyperlink w:anchor="__RefHeading___Toc7189_4263782815">
            <w:r>
              <w:rPr>
                <w:webHidden/>
                <w:rStyle w:val="Style14"/>
                <w:vanish w:val="false"/>
              </w:rPr>
              <w:t>3. Требования к документации по ценообразованию на этапе закупки</w:t>
              <w:tab/>
              <w:t>11</w:t>
            </w:r>
          </w:hyperlink>
        </w:p>
        <w:p>
          <w:pPr>
            <w:pStyle w:val="TOC1"/>
            <w:tabs>
              <w:tab w:val="clear" w:pos="327"/>
              <w:tab w:val="right" w:pos="9921" w:leader="dot"/>
            </w:tabs>
            <w:rPr/>
          </w:pPr>
          <w:hyperlink w:anchor="__RefHeading___Toc7191_4263782815">
            <w:r>
              <w:rPr>
                <w:webHidden/>
                <w:rStyle w:val="Style14"/>
                <w:vanish w:val="false"/>
              </w:rPr>
              <w:t xml:space="preserve">4. </w:t>
            </w:r>
            <w:r>
              <w:rPr>
                <w:rStyle w:val="Style14"/>
                <w:iCs/>
              </w:rPr>
              <w:t>Приложения</w:t>
            </w:r>
            <w:r>
              <w:rPr>
                <w:rStyle w:val="Style14"/>
              </w:rPr>
              <w:tab/>
              <w:t>11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tabs>
          <w:tab w:val="clear" w:pos="327"/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color w:val="auto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color w:val="auto"/>
          <w:sz w:val="22"/>
          <w:szCs w:val="22"/>
        </w:rPr>
      </w:r>
    </w:p>
    <w:p>
      <w:pPr>
        <w:pStyle w:val="Heading2"/>
        <w:rPr>
          <w:b w:val="false"/>
          <w:i/>
          <w:i/>
        </w:rPr>
      </w:pPr>
      <w:r>
        <w:rPr>
          <w:b w:val="false"/>
          <w:i/>
        </w:rPr>
      </w:r>
      <w:r>
        <w:br w:type="page"/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caps/>
          <w:lang w:val="ru-RU"/>
        </w:rPr>
      </w:pPr>
      <w:bookmarkStart w:id="0" w:name="__RefHeading___Toc7159_4263782815"/>
      <w:bookmarkStart w:id="1" w:name="_Toc133502991"/>
      <w:bookmarkStart w:id="2" w:name="_Toc51339692"/>
      <w:bookmarkEnd w:id="0"/>
      <w:bookmarkEnd w:id="2"/>
      <w:r>
        <w:rPr>
          <w:lang w:val="ru-RU"/>
        </w:rPr>
        <w:t>Общие сведения</w:t>
      </w:r>
      <w:bookmarkEnd w:id="1"/>
    </w:p>
    <w:p>
      <w:pPr>
        <w:pStyle w:val="Heading4"/>
        <w:numPr>
          <w:ilvl w:val="1"/>
          <w:numId w:val="1"/>
        </w:numPr>
        <w:rPr/>
      </w:pPr>
      <w:bookmarkStart w:id="3" w:name="__RefHeading___Toc7161_4263782815"/>
      <w:bookmarkStart w:id="4" w:name="_Toc133502992"/>
      <w:bookmarkStart w:id="5" w:name="_Toc46743505"/>
      <w:bookmarkEnd w:id="3"/>
      <w:bookmarkEnd w:id="5"/>
      <w:r>
        <w:rPr/>
        <w:t>Обозначения и сокращения</w:t>
      </w:r>
      <w:bookmarkEnd w:id="4"/>
    </w:p>
    <w:p>
      <w:pPr>
        <w:pStyle w:val="Normal"/>
        <w:rPr>
          <w:rStyle w:val="Style8"/>
          <w:bCs/>
          <w:sz w:val="24"/>
          <w:szCs w:val="24"/>
        </w:rPr>
      </w:pPr>
      <w:r>
        <w:rPr>
          <w:bCs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8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ФАС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bCs/>
                <w:iCs/>
                <w:sz w:val="24"/>
                <w:szCs w:val="24"/>
                <w:lang w:val="en-US"/>
              </w:rPr>
              <w:t>Федеральная антимонопольная служба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rStyle w:val="Style8"/>
                <w:shd w:fill="FFFFFF" w:val="clear"/>
                <w:lang w:val="en-US"/>
              </w:rPr>
            </w:pPr>
            <w:r>
              <w:rPr>
                <w:shd w:fill="FFFFFF" w:val="clear"/>
                <w:lang w:val="en-US"/>
              </w:rPr>
              <w:t>ГЭС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bCs/>
                <w:iCs/>
                <w:sz w:val="24"/>
                <w:szCs w:val="24"/>
                <w:lang w:val="en-US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i w:val="false"/>
                <w:iCs w:val="false"/>
                <w:shd w:fill="FFFFFF" w:val="clear"/>
                <w:lang w:val="en-US"/>
              </w:rPr>
              <w:t>КНД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bCs/>
                <w:iCs/>
                <w:sz w:val="24"/>
                <w:szCs w:val="24"/>
                <w:lang w:val="en-US"/>
              </w:rPr>
              <w:t>Компрессор низкого давления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1"/>
        </w:numPr>
        <w:rPr/>
      </w:pPr>
      <w:bookmarkStart w:id="6" w:name="__RefHeading___Toc7163_4263782815"/>
      <w:bookmarkStart w:id="7" w:name="_Toc133502993"/>
      <w:bookmarkStart w:id="8" w:name="_Toc46743506"/>
      <w:bookmarkEnd w:id="6"/>
      <w:bookmarkEnd w:id="8"/>
      <w:r>
        <w:rPr/>
        <w:t>Наименование закупаемой продукции</w:t>
      </w:r>
      <w:bookmarkEnd w:id="7"/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120"/>
        <w:ind w:right="-144" w:hanging="0"/>
        <w:rPr>
          <w:sz w:val="24"/>
          <w:szCs w:val="24"/>
        </w:rPr>
      </w:pPr>
      <w:r>
        <w:rPr>
          <w:sz w:val="24"/>
          <w:szCs w:val="24"/>
        </w:rPr>
        <w:t>ОКПД2 28.13.32.120 Поставка запасных частей для ремонта компрессорного оборудования Филиала ПАО "РусГидро"-"Жигулевская ГЭС" (компрессоры 1ВВ-40/9В)</w:t>
      </w:r>
    </w:p>
    <w:p>
      <w:pPr>
        <w:pStyle w:val="Heading4"/>
        <w:numPr>
          <w:ilvl w:val="1"/>
          <w:numId w:val="1"/>
        </w:numPr>
        <w:spacing w:before="240" w:after="60"/>
        <w:ind w:left="431" w:hanging="431"/>
        <w:rPr/>
      </w:pPr>
      <w:bookmarkStart w:id="9" w:name="__RefHeading___Toc7165_4263782815"/>
      <w:bookmarkStart w:id="10" w:name="_Toc133502994"/>
      <w:bookmarkStart w:id="11" w:name="_Toc46743507"/>
      <w:bookmarkEnd w:id="9"/>
      <w:r>
        <w:rPr/>
        <w:t xml:space="preserve">Цель </w:t>
      </w:r>
      <w:bookmarkEnd w:id="11"/>
      <w:r>
        <w:rPr>
          <w:lang w:val="ru-RU"/>
        </w:rPr>
        <w:t>использования закупаемой продукции</w:t>
      </w:r>
      <w:bookmarkEnd w:id="10"/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240"/>
        <w:jc w:val="both"/>
        <w:rPr/>
      </w:pPr>
      <w:r>
        <w:rPr>
          <w:sz w:val="24"/>
          <w:szCs w:val="24"/>
        </w:rPr>
        <w:t>Для обеспечения работоспособности компрессоров 1ВВ-40/9В. Продукция предназначена для исполнения договора подряда 3-РЕМ-2023-ЖиГЭС от 03.11.2023г. «Капитальный и текущий ремонт оборудования, зданий, сооружений филиала ПАО «РусГидро» - «Жигулевская ГЭС» и будет использоваться в качестве давальческих материалов.</w:t>
      </w:r>
    </w:p>
    <w:p>
      <w:pPr>
        <w:pStyle w:val="Heading4"/>
        <w:numPr>
          <w:ilvl w:val="1"/>
          <w:numId w:val="1"/>
        </w:numPr>
        <w:rPr/>
      </w:pPr>
      <w:bookmarkStart w:id="12" w:name="__RefHeading___Toc7167_4263782815"/>
      <w:bookmarkStart w:id="13" w:name="_Toc46743508"/>
      <w:bookmarkStart w:id="14" w:name="_Toc133502995"/>
      <w:bookmarkEnd w:id="12"/>
      <w:r>
        <w:rPr/>
        <w:t>Существующее положение</w:t>
      </w:r>
      <w:bookmarkEnd w:id="13"/>
      <w:bookmarkEnd w:id="14"/>
      <w:r>
        <w:rPr>
          <w:lang w:val="ru-RU"/>
        </w:rPr>
        <w:t xml:space="preserve"> 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Жигулёвская ГЭС расположена по адресу: Российская Федерация, 445350, Самарская область, город Жигулевск, Московское шоссе, дом 2.  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На Филиале эксплуатируются</w:t>
      </w:r>
      <w:r>
        <w:rPr>
          <w:b/>
          <w:bCs/>
          <w:sz w:val="24"/>
          <w:szCs w:val="24"/>
          <w:lang w:eastAsia="en-US"/>
        </w:rPr>
        <w:t xml:space="preserve"> </w:t>
      </w:r>
      <w:r>
        <w:rPr>
          <w:b w:val="false"/>
          <w:bCs w:val="false"/>
          <w:sz w:val="24"/>
          <w:szCs w:val="24"/>
          <w:lang w:eastAsia="en-US"/>
        </w:rPr>
        <w:t>два к</w:t>
      </w:r>
      <w:r>
        <w:rPr>
          <w:sz w:val="24"/>
          <w:szCs w:val="24"/>
          <w:lang w:eastAsia="en-US"/>
        </w:rPr>
        <w:t>омпрессора низкого давления типа 1ВВ-40/9В расположенные на отм.37,7 монтажного блока (КНД-3 и КНД-4), производства ОАО «Пензкомпрессормаш». С момента ввода в эксплуатацию в 2005 году регулярное проведение текущих ремонтов позволяет поддерживать оборудование в исправном состоянии.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Для обеспечения работоспособности компрессоров 1ВВ-40/9В необходимо в период проведения текущего ремонта использовать запчасти и материалы, указанные в таблице 1.1.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327"/>
          <w:tab w:val="left" w:pos="426" w:leader="none"/>
        </w:tabs>
        <w:spacing w:before="120" w:after="240"/>
        <w:contextualSpacing/>
        <w:jc w:val="both"/>
        <w:rPr>
          <w:b/>
          <w:lang w:val="en-US"/>
        </w:rPr>
      </w:pPr>
      <w:r>
        <w:rPr>
          <w:b/>
          <w:lang w:val="en-US"/>
        </w:rPr>
        <w:t>Требования к участнику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участнику закупки: отсутствие в реестре недобросовестных поставщиков(подрядчиков) ФАС России.</w:t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iCs/>
          <w:caps/>
          <w:lang w:val="ru-RU"/>
        </w:rPr>
      </w:pPr>
      <w:bookmarkStart w:id="15" w:name="__RefHeading___Toc7169_4263782815"/>
      <w:bookmarkStart w:id="16" w:name="_Toc133502996"/>
      <w:bookmarkStart w:id="17" w:name="_Toc51339693"/>
      <w:bookmarkEnd w:id="15"/>
      <w:bookmarkEnd w:id="17"/>
      <w:r>
        <w:rPr>
          <w:iCs/>
        </w:rPr>
        <w:t>Требования к продукции</w:t>
      </w:r>
      <w:bookmarkEnd w:id="16"/>
    </w:p>
    <w:p>
      <w:pPr>
        <w:pStyle w:val="Heading4"/>
        <w:numPr>
          <w:ilvl w:val="1"/>
          <w:numId w:val="1"/>
        </w:numPr>
        <w:rPr/>
      </w:pPr>
      <w:bookmarkStart w:id="18" w:name="__RefHeading___Toc7171_4263782815"/>
      <w:bookmarkStart w:id="19" w:name="_Toc133502997"/>
      <w:bookmarkEnd w:id="18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9"/>
    </w:p>
    <w:p>
      <w:pPr>
        <w:pStyle w:val="Heading3"/>
        <w:numPr>
          <w:ilvl w:val="2"/>
          <w:numId w:val="1"/>
        </w:numPr>
        <w:rPr/>
      </w:pPr>
      <w:bookmarkStart w:id="20" w:name="__RefHeading___Toc7173_4263782815"/>
      <w:bookmarkStart w:id="21" w:name="_Toc133502998"/>
      <w:bookmarkEnd w:id="20"/>
      <w:r>
        <w:rPr>
          <w:lang w:val="ru-RU"/>
        </w:rPr>
        <w:t>Перечень и объем закупаемой продукции</w:t>
      </w:r>
      <w:bookmarkEnd w:id="21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22" w:name="__RefHeading___Toc7175_4263782815"/>
      <w:bookmarkStart w:id="23" w:name="_Toc133502999"/>
      <w:bookmarkStart w:id="24" w:name="_Toc51339695"/>
      <w:bookmarkEnd w:id="2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4"/>
      <w:r>
        <w:rPr>
          <w:sz w:val="24"/>
          <w:szCs w:val="24"/>
          <w:lang w:val="ru-RU"/>
        </w:rPr>
        <w:t>и объем закупаемой продукции</w:t>
      </w:r>
      <w:bookmarkEnd w:id="23"/>
    </w:p>
    <w:tbl>
      <w:tblPr>
        <w:tblW w:w="9765" w:type="dxa"/>
        <w:jc w:val="left"/>
        <w:tblInd w:w="300" w:type="dxa"/>
        <w:tblLayout w:type="fixed"/>
        <w:tblCellMar>
          <w:top w:w="0" w:type="dxa"/>
          <w:left w:w="83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3"/>
        <w:gridCol w:w="6430"/>
        <w:gridCol w:w="1359"/>
        <w:gridCol w:w="1412"/>
      </w:tblGrid>
      <w:tr>
        <w:trPr>
          <w:tblHeader w:val="true"/>
        </w:trPr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blHeader w:val="true"/>
        </w:trPr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30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Звездочка Пензкомпрессормаш 04.248.045 для компрессора </w:t>
            </w:r>
            <w:r>
              <w:rPr>
                <w:sz w:val="24"/>
                <w:szCs w:val="24"/>
                <w:lang w:eastAsia="en-US"/>
              </w:rPr>
              <w:t>или эквивалент</w:t>
            </w:r>
          </w:p>
        </w:tc>
        <w:tc>
          <w:tcPr>
            <w:tcW w:w="13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30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Элемент фильтрующий очистки воздуха ФП 207.1-06 </w:t>
            </w:r>
            <w:r>
              <w:rPr>
                <w:sz w:val="24"/>
                <w:szCs w:val="24"/>
                <w:lang w:eastAsia="en-US"/>
              </w:rPr>
              <w:t>или эквивалент</w:t>
            </w:r>
          </w:p>
        </w:tc>
        <w:tc>
          <w:tcPr>
            <w:tcW w:w="13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30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Масло компрессорное «Энекон-46» ТУ 0253-009-47419918 </w:t>
            </w:r>
            <w:r>
              <w:rPr>
                <w:sz w:val="24"/>
                <w:szCs w:val="24"/>
                <w:lang w:eastAsia="en-US"/>
              </w:rPr>
              <w:t>или эквивалент</w:t>
            </w:r>
          </w:p>
        </w:tc>
        <w:tc>
          <w:tcPr>
            <w:tcW w:w="13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14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35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30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Масло промывочное «Эконол» ТУ 0253-004-47419918 </w:t>
            </w:r>
            <w:r>
              <w:rPr>
                <w:sz w:val="24"/>
                <w:szCs w:val="24"/>
                <w:lang w:eastAsia="en-US"/>
              </w:rPr>
              <w:t>или эквивалент</w:t>
            </w:r>
          </w:p>
        </w:tc>
        <w:tc>
          <w:tcPr>
            <w:tcW w:w="13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14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3</w:t>
            </w:r>
          </w:p>
        </w:tc>
      </w:tr>
    </w:tbl>
    <w:p>
      <w:pPr>
        <w:pStyle w:val="Normal"/>
        <w:ind w:left="57" w:hanging="0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ind w:left="57" w:hanging="0"/>
        <w:jc w:val="both"/>
        <w:rPr>
          <w:lang w:val="en-US"/>
        </w:rPr>
      </w:pPr>
      <w:r>
        <w:rPr>
          <w:lang w:val="en-US"/>
        </w:rPr>
      </w:r>
      <w:r>
        <w:br w:type="page"/>
      </w:r>
    </w:p>
    <w:p>
      <w:pPr>
        <w:pStyle w:val="Normal"/>
        <w:ind w:left="57" w:hanging="0"/>
        <w:jc w:val="both"/>
        <w:rPr>
          <w:lang w:val="en-US"/>
        </w:rPr>
      </w:pPr>
      <w:r>
        <w:rPr>
          <w:b/>
          <w:sz w:val="24"/>
          <w:szCs w:val="24"/>
          <w:lang w:eastAsia="en-US"/>
        </w:rPr>
        <w:t xml:space="preserve">Таблица 1.2 Технические характеристики </w:t>
      </w:r>
      <w:r>
        <w:rPr>
          <w:b/>
          <w:sz w:val="24"/>
          <w:szCs w:val="24"/>
          <w:lang w:val="en-US" w:eastAsia="en-US"/>
        </w:rPr>
        <w:t>оборудования</w:t>
      </w:r>
    </w:p>
    <w:p>
      <w:pPr>
        <w:pStyle w:val="Normal"/>
        <w:ind w:left="71" w:hanging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tbl>
      <w:tblPr>
        <w:tblW w:w="9750" w:type="dxa"/>
        <w:jc w:val="left"/>
        <w:tblInd w:w="3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6"/>
        <w:gridCol w:w="2623"/>
        <w:gridCol w:w="3006"/>
        <w:gridCol w:w="3574"/>
      </w:tblGrid>
      <w:tr>
        <w:trPr>
          <w:trHeight w:val="450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A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bCs/>
                <w:color w:val="00000A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A"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</w:numPr>
              <w:jc w:val="center"/>
              <w:rPr>
                <w:b/>
                <w:bCs/>
                <w:sz w:val="24"/>
                <w:szCs w:val="28"/>
              </w:rPr>
            </w:pPr>
            <w:bookmarkStart w:id="25" w:name="__RefHeading___Toc7177_4263782815"/>
            <w:bookmarkEnd w:id="25"/>
            <w:r>
              <w:rPr>
                <w:b/>
                <w:bCs/>
                <w:sz w:val="24"/>
                <w:szCs w:val="28"/>
              </w:rPr>
              <w:t>Наименование параметра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</w:numPr>
              <w:jc w:val="center"/>
              <w:rPr>
                <w:b/>
                <w:bCs/>
                <w:sz w:val="24"/>
                <w:szCs w:val="28"/>
              </w:rPr>
            </w:pPr>
            <w:bookmarkStart w:id="26" w:name="__RefHeading___Toc7179_4263782815"/>
            <w:bookmarkEnd w:id="26"/>
            <w:r>
              <w:rPr>
                <w:b/>
                <w:bCs/>
                <w:sz w:val="24"/>
                <w:szCs w:val="28"/>
              </w:rPr>
              <w:t>Значение параметра</w:t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>
        <w:trPr/>
        <w:tc>
          <w:tcPr>
            <w:tcW w:w="54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62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Звездочка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винтовых компрессоров 1ВВ-40/9В Пензкомпрессормаш</w:t>
            </w:r>
          </w:p>
        </w:tc>
      </w:tr>
      <w:tr>
        <w:trPr/>
        <w:tc>
          <w:tcPr>
            <w:tcW w:w="54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Артикул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/>
              </w:rPr>
              <w:t>04.248.045</w:t>
            </w:r>
          </w:p>
        </w:tc>
      </w:tr>
      <w:tr>
        <w:trPr/>
        <w:tc>
          <w:tcPr>
            <w:tcW w:w="54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62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Элемент фильтрующий очистки воздуха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винтовых компрессоров 1ВВ-40/9В</w:t>
            </w:r>
          </w:p>
        </w:tc>
      </w:tr>
      <w:tr>
        <w:trPr/>
        <w:tc>
          <w:tcPr>
            <w:tcW w:w="54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Артикул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ФП 207.1-06</w:t>
            </w:r>
          </w:p>
        </w:tc>
      </w:tr>
      <w:tr>
        <w:trPr/>
        <w:tc>
          <w:tcPr>
            <w:tcW w:w="54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Диаметр уплотнительного кольца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Не менее 220мм</w:t>
            </w:r>
          </w:p>
        </w:tc>
      </w:tr>
      <w:tr>
        <w:trPr/>
        <w:tc>
          <w:tcPr>
            <w:tcW w:w="54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62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компрессорное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винтовых компрессоров 1ВВ-40/9В</w:t>
            </w:r>
          </w:p>
        </w:tc>
      </w:tr>
      <w:tr>
        <w:trPr/>
        <w:tc>
          <w:tcPr>
            <w:tcW w:w="54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Артикул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«Энекон-46»</w:t>
            </w:r>
          </w:p>
        </w:tc>
      </w:tr>
      <w:tr>
        <w:trPr/>
        <w:tc>
          <w:tcPr>
            <w:tcW w:w="54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 w:eastAsia="en-US"/>
              </w:rPr>
              <w:t>Вязкость кинематическая, мм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vertAlign w:val="superscript"/>
                <w:lang w:val="en-US" w:eastAsia="en-US"/>
              </w:rPr>
              <w:t>2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 w:eastAsia="en-US"/>
              </w:rPr>
              <w:t>/с при 100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vertAlign w:val="superscript"/>
                <w:lang w:val="en-US" w:eastAsia="en-US"/>
              </w:rPr>
              <w:t>о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 w:eastAsia="en-US"/>
              </w:rPr>
              <w:t>С в пределах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6,0-9,0</w:t>
            </w:r>
          </w:p>
        </w:tc>
      </w:tr>
      <w:tr>
        <w:trPr/>
        <w:tc>
          <w:tcPr>
            <w:tcW w:w="54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 w:eastAsia="en-US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 w:eastAsia="en-US"/>
              </w:rPr>
              <w:t>Индекс вязкости, не менее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>
        <w:trPr/>
        <w:tc>
          <w:tcPr>
            <w:tcW w:w="54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 w:eastAsia="en-US"/>
              </w:rPr>
              <w:t xml:space="preserve">Температура вспышки в открытом тигле,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vertAlign w:val="superscript"/>
                <w:lang w:val="en-US" w:eastAsia="en-US"/>
              </w:rPr>
              <w:t>0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 w:eastAsia="en-US"/>
              </w:rPr>
              <w:t>С не ниже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</w:tr>
      <w:tr>
        <w:trPr/>
        <w:tc>
          <w:tcPr>
            <w:tcW w:w="54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 w:eastAsia="en-US"/>
              </w:rPr>
              <w:t xml:space="preserve">Температура застывания,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vertAlign w:val="superscript"/>
                <w:lang w:val="en-US" w:eastAsia="en-US"/>
              </w:rPr>
              <w:t>0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 w:eastAsia="en-US"/>
              </w:rPr>
              <w:t>С не выше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-15</w:t>
            </w:r>
          </w:p>
        </w:tc>
      </w:tr>
      <w:tr>
        <w:trPr/>
        <w:tc>
          <w:tcPr>
            <w:tcW w:w="54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 w:eastAsia="en-US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 w:eastAsia="en-US"/>
              </w:rPr>
              <w:t>Массовая доля механических примесей, % масс. не более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</w:tr>
      <w:tr>
        <w:trPr/>
        <w:tc>
          <w:tcPr>
            <w:tcW w:w="54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 w:eastAsia="en-US"/>
              </w:rPr>
              <w:t>Плотность при 20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vertAlign w:val="superscript"/>
                <w:lang w:val="en-US" w:eastAsia="en-US"/>
              </w:rPr>
              <w:t>0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 w:eastAsia="en-US"/>
              </w:rPr>
              <w:t>С, г/м3 не более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0,91</w:t>
            </w:r>
          </w:p>
        </w:tc>
      </w:tr>
      <w:tr>
        <w:trPr/>
        <w:tc>
          <w:tcPr>
            <w:tcW w:w="54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Стандарт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 0253-009-47419918</w:t>
            </w:r>
          </w:p>
        </w:tc>
      </w:tr>
      <w:tr>
        <w:trPr/>
        <w:tc>
          <w:tcPr>
            <w:tcW w:w="54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62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промывочное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винтовых компрессоров 1ВВ-40/9В</w:t>
            </w:r>
          </w:p>
        </w:tc>
      </w:tr>
      <w:tr>
        <w:trPr/>
        <w:tc>
          <w:tcPr>
            <w:tcW w:w="54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Артикул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«Эконол»</w:t>
            </w:r>
          </w:p>
        </w:tc>
      </w:tr>
      <w:tr>
        <w:trPr/>
        <w:tc>
          <w:tcPr>
            <w:tcW w:w="54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 w:eastAsia="en-US"/>
              </w:rPr>
              <w:t>Вязкость кинематическая при 100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vertAlign w:val="superscript"/>
                <w:lang w:val="en-US" w:eastAsia="en-US"/>
              </w:rPr>
              <w:t>о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 w:eastAsia="en-US"/>
              </w:rPr>
              <w:t>С, мм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vertAlign w:val="superscript"/>
                <w:lang w:val="en-US" w:eastAsia="en-US"/>
              </w:rPr>
              <w:t>2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 w:eastAsia="en-US"/>
              </w:rPr>
              <w:t>/с не менее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4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 w:eastAsia="en-US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 w:eastAsia="en-US"/>
              </w:rPr>
              <w:t>Массовая доля воды, % не более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</w:tr>
      <w:tr>
        <w:trPr/>
        <w:tc>
          <w:tcPr>
            <w:tcW w:w="54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 w:eastAsia="en-US"/>
              </w:rPr>
              <w:t xml:space="preserve">Температура вспышки в открытом тигле,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vertAlign w:val="superscript"/>
                <w:lang w:val="en-US" w:eastAsia="en-US"/>
              </w:rPr>
              <w:t>0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 w:eastAsia="en-US"/>
              </w:rPr>
              <w:t>С не ниже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</w:tr>
      <w:tr>
        <w:trPr/>
        <w:tc>
          <w:tcPr>
            <w:tcW w:w="54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 w:eastAsia="en-US"/>
              </w:rPr>
              <w:t xml:space="preserve">Температура застывания,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vertAlign w:val="superscript"/>
                <w:lang w:val="en-US" w:eastAsia="en-US"/>
              </w:rPr>
              <w:t>0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 w:eastAsia="en-US"/>
              </w:rPr>
              <w:t>С не выше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минус 10</w:t>
            </w:r>
          </w:p>
        </w:tc>
      </w:tr>
      <w:tr>
        <w:trPr/>
        <w:tc>
          <w:tcPr>
            <w:tcW w:w="54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 w:eastAsia="en-US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 w:eastAsia="en-US"/>
              </w:rPr>
              <w:t>Массовая доля механических примесей, % масс. не более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>
        <w:trPr/>
        <w:tc>
          <w:tcPr>
            <w:tcW w:w="54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Стандарт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 0253-004-47419918</w:t>
            </w:r>
          </w:p>
        </w:tc>
      </w:tr>
    </w:tbl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Heading3"/>
        <w:numPr>
          <w:ilvl w:val="2"/>
          <w:numId w:val="1"/>
        </w:numPr>
        <w:rPr>
          <w:lang w:val="ru-RU"/>
        </w:rPr>
      </w:pPr>
      <w:bookmarkStart w:id="27" w:name="__RefHeading___Toc7181_4263782815"/>
      <w:bookmarkStart w:id="28" w:name="_Toc133503002"/>
      <w:bookmarkStart w:id="29" w:name="_Toc51339696"/>
      <w:bookmarkEnd w:id="27"/>
      <w:r>
        <w:rPr>
          <w:lang w:val="ru-RU"/>
        </w:rPr>
        <w:t xml:space="preserve">Требования </w:t>
      </w:r>
      <w:bookmarkEnd w:id="29"/>
      <w:r>
        <w:rPr>
          <w:lang w:val="ru-RU"/>
        </w:rPr>
        <w:t>к срокам поставки продукции и оказания сопутствующих услуг</w:t>
      </w:r>
      <w:bookmarkEnd w:id="28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30" w:name="__RefHeading___Toc7183_4263782815"/>
      <w:bookmarkStart w:id="31" w:name="_Toc133503003"/>
      <w:bookmarkStart w:id="32" w:name="_Toc51339697"/>
      <w:bookmarkStart w:id="33" w:name="_Toc50125127"/>
      <w:bookmarkStart w:id="34" w:name="_Toc501251261"/>
      <w:bookmarkEnd w:id="30"/>
      <w:bookmarkEnd w:id="3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5" w:name="_Hlk50465284"/>
      <w:r>
        <w:rPr>
          <w:sz w:val="24"/>
          <w:szCs w:val="24"/>
        </w:rPr>
        <w:t xml:space="preserve">Требования по срокам </w:t>
      </w:r>
      <w:bookmarkEnd w:id="32"/>
      <w:bookmarkEnd w:id="33"/>
      <w:bookmarkEnd w:id="35"/>
      <w:r>
        <w:rPr>
          <w:sz w:val="24"/>
          <w:szCs w:val="24"/>
          <w:lang w:val="ru-RU"/>
        </w:rPr>
        <w:t>поставки продукции</w:t>
      </w:r>
      <w:bookmarkEnd w:id="31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151" w:type="dxa"/>
        <w:tblLayout w:type="fixed"/>
        <w:tblCellMar>
          <w:top w:w="0" w:type="dxa"/>
          <w:left w:w="8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4"/>
        <w:gridCol w:w="3805"/>
        <w:gridCol w:w="2556"/>
        <w:gridCol w:w="2630"/>
      </w:tblGrid>
      <w:tr>
        <w:trPr>
          <w:tblHeader w:val="true"/>
        </w:trPr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blHeader w:val="true"/>
        </w:trPr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Звездочка</w:t>
            </w:r>
          </w:p>
        </w:tc>
        <w:tc>
          <w:tcPr>
            <w:tcW w:w="2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 (плановый срок - 28.02.2027)</w:t>
            </w:r>
          </w:p>
        </w:tc>
        <w:tc>
          <w:tcPr>
            <w:tcW w:w="26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2 месяцев с даты подписания договора (плановый срок — 30.04.2027)</w:t>
            </w:r>
          </w:p>
        </w:tc>
      </w:tr>
      <w:tr>
        <w:trPr/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Элемент фильтрующий очистки воздуха</w:t>
            </w:r>
          </w:p>
        </w:tc>
        <w:tc>
          <w:tcPr>
            <w:tcW w:w="2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 (плановый срок - 28.02.2027)</w:t>
            </w:r>
          </w:p>
        </w:tc>
        <w:tc>
          <w:tcPr>
            <w:tcW w:w="26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2 месяцев с даты подписания договора (плановый срок — 30.04.2027)</w:t>
            </w:r>
          </w:p>
        </w:tc>
      </w:tr>
      <w:tr>
        <w:trPr/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компрессорное</w:t>
            </w:r>
          </w:p>
        </w:tc>
        <w:tc>
          <w:tcPr>
            <w:tcW w:w="2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 (плановый срок - 28.02.2027)</w:t>
            </w:r>
          </w:p>
        </w:tc>
        <w:tc>
          <w:tcPr>
            <w:tcW w:w="26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2 месяцев с даты подписания договора (плановый срок — 30.04.2027)</w:t>
            </w:r>
          </w:p>
        </w:tc>
      </w:tr>
      <w:tr>
        <w:trPr/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промывочное</w:t>
            </w:r>
          </w:p>
        </w:tc>
        <w:tc>
          <w:tcPr>
            <w:tcW w:w="2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 (плановый срок - 28.02.2027)</w:t>
            </w:r>
          </w:p>
        </w:tc>
        <w:tc>
          <w:tcPr>
            <w:tcW w:w="26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2 месяцев с даты подписания договора (плановый срок — 30.04.2027)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1"/>
        </w:numPr>
        <w:rPr/>
      </w:pPr>
      <w:bookmarkStart w:id="36" w:name="__RefHeading___Toc7185_4263782815"/>
      <w:bookmarkStart w:id="37" w:name="_Toc51339698"/>
      <w:bookmarkStart w:id="38" w:name="_Toc133503004"/>
      <w:bookmarkStart w:id="39" w:name="_Toc46743511"/>
      <w:bookmarkEnd w:id="36"/>
      <w:r>
        <w:rPr/>
        <w:t xml:space="preserve">Требования к </w:t>
      </w:r>
      <w:bookmarkEnd w:id="39"/>
      <w:r>
        <w:rPr>
          <w:lang w:val="ru-RU"/>
        </w:rPr>
        <w:t>качеству продукции</w:t>
      </w:r>
      <w:bookmarkEnd w:id="38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40" w:name="__RefHeading___Toc7187_4263782815"/>
      <w:bookmarkEnd w:id="40"/>
      <w:r>
        <w:rPr>
          <w:sz w:val="24"/>
          <w:szCs w:val="24"/>
        </w:rPr>
        <w:t xml:space="preserve"> </w:t>
      </w:r>
      <w:bookmarkStart w:id="41" w:name="_Toc133503005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7"/>
      <w:bookmarkEnd w:id="41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</w:rPr>
      </w:pPr>
      <w:r>
        <w:rPr/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bCs/>
          <w:iCs/>
          <w:sz w:val="24"/>
          <w:szCs w:val="24"/>
        </w:rPr>
        <w:t>Наименование продукции</w:t>
      </w:r>
      <w:r>
        <w:rPr>
          <w:b/>
          <w:bCs/>
          <w:iCs/>
          <w:sz w:val="24"/>
          <w:szCs w:val="24"/>
          <w:shd w:fill="auto" w:val="clear"/>
        </w:rPr>
        <w:t xml:space="preserve"> (позиции №1-№4 Таблицы 1.1): ОКПД2 28.13.32.120 Поставка запасных частей для ремонта компрессорного оборудования Филиала ПАО "РусГидро"-"Жигулевская ГЭС" (компрессоры 1ВВ-40/9В)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ffff5"/>
        <w:tblW w:w="15309" w:type="dxa"/>
        <w:jc w:val="left"/>
        <w:tblInd w:w="146" w:type="dxa"/>
        <w:tblLayout w:type="fixed"/>
        <w:tblCellMar>
          <w:top w:w="0" w:type="dxa"/>
          <w:left w:w="8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6"/>
        <w:gridCol w:w="1995"/>
        <w:gridCol w:w="32"/>
        <w:gridCol w:w="12"/>
        <w:gridCol w:w="2961"/>
        <w:gridCol w:w="2927"/>
        <w:gridCol w:w="3201"/>
        <w:gridCol w:w="3334"/>
      </w:tblGrid>
      <w:tr>
        <w:trPr/>
        <w:tc>
          <w:tcPr>
            <w:tcW w:w="846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039" w:type="dxa"/>
            <w:gridSpan w:val="3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61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12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3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4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039" w:type="dxa"/>
            <w:gridSpan w:val="3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6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2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3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03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92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2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3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39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Требование к сроку годности на продукцию с ограниченным сроком годности</w:t>
            </w:r>
          </w:p>
        </w:tc>
        <w:tc>
          <w:tcPr>
            <w:tcW w:w="2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Остаточный срок годности поставляемой продукции в момент поставки должен составлять не менее 12 месяцев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39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Использование эквивалентов</w:t>
            </w:r>
          </w:p>
        </w:tc>
        <w:tc>
          <w:tcPr>
            <w:tcW w:w="29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/>
            </w:pPr>
            <w:r>
              <w:rPr>
                <w:rStyle w:val="Style8"/>
                <w:rFonts w:eastAsia="Times New Roman" w:cs="Times New Roman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Возможно использование эквивалентов при условии соответствия функциональности, технических характеристик, установочных размеров запасных частей и работоспособности оборудования составной частью которого они являются без дополнительных трудозатрат. Соответствие требованиям указанных в таблице 1.2.</w:t>
            </w:r>
          </w:p>
        </w:tc>
        <w:tc>
          <w:tcPr>
            <w:tcW w:w="292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320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3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2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1066" w:leader="none"/>
              </w:tabs>
              <w:suppressAutoHyphens w:val="true"/>
              <w:spacing w:lineRule="auto" w:line="276" w:before="0" w:after="200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Требования к информационной безопасности результата оказания услуг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7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1066" w:leader="none"/>
              </w:tabs>
              <w:suppressAutoHyphens w:val="true"/>
              <w:spacing w:lineRule="auto" w:line="276" w:before="0" w:after="200"/>
              <w:ind w:left="74" w:hanging="0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Требования информационной безопасности должны обеспечиваться на всех стадиях жизненного цикла Систем с учетом всех сторон, вовлеченных в процессы жизненного цикла (разработчиков, заказчиков, поставщиков продуктов и услуг, эксплуатирующих и надзорных подразделений Общества).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>Требования к изготовлению и материалам</w:t>
            </w:r>
          </w:p>
        </w:tc>
        <w:tc>
          <w:tcPr>
            <w:tcW w:w="300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Изготовление и материалы поставляемой продукции должна соответствовать заявленным согласно перечня в табл.1.2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39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Погрузка, доставка, разгрузка и перемещение Товара</w:t>
            </w:r>
          </w:p>
        </w:tc>
        <w:tc>
          <w:tcPr>
            <w:tcW w:w="29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Продукция должна быть доставлена поставщиком по адресу: Российская Федерация, 445350, Самарская область, город Жигулевск, Московское шоссе, дом 2. Приемка продукции в рабочие дни с 08.00 до 15.00 по местному времени. Информация о транспорте (марка, гос.номер), на котором осуществляется доставка, а также ФИО и паспортные данные водителя и сопровождающих лиц (при наличии) для оформления допуска на территорию предоставляется не позднее предыдущего рабочего дня до прибытия транспорта, до 15.00. Допуск транспорта на территорию заказчика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и пропуск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осуществляется без попутного груза.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</w:t>
            </w:r>
          </w:p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39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гарантии</w:t>
            </w:r>
          </w:p>
        </w:tc>
        <w:tc>
          <w:tcPr>
            <w:tcW w:w="29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firstLine="284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Срок гарантии на поставленную продукцию не менее 12 месяцев.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3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оборудованием</w:t>
            </w:r>
          </w:p>
        </w:tc>
        <w:tc>
          <w:tcPr>
            <w:tcW w:w="29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оборудования передать Покупателю относящиеся к нему документы (перечень документов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определяется заводом изготовителем),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сертификаты качества,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технические паспорта,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руководства по эксплуатации,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протоколы заводских испытаний, а так же товарную накладную унифицированной формы ТОРГ 12 в 2 экз. Вся передаваемая документация должна быть на русском языке.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экономическим параметрам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сопутствующим услугам: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шефмонтажу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шефналадке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прочим услугам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lang w:val="ru-RU"/>
        </w:rPr>
      </w:pPr>
      <w:bookmarkStart w:id="42" w:name="__RefHeading___Toc7189_4263782815"/>
      <w:bookmarkStart w:id="43" w:name="_Toc133503006"/>
      <w:bookmarkStart w:id="44" w:name="_Toc53393312"/>
      <w:bookmarkEnd w:id="42"/>
      <w:r>
        <w:rPr>
          <w:lang w:val="ru-RU"/>
        </w:rPr>
        <w:t>Требования к документации по ценообразованию</w:t>
      </w:r>
      <w:bookmarkEnd w:id="44"/>
      <w:r>
        <w:rPr>
          <w:lang w:val="ru-RU"/>
        </w:rPr>
        <w:t xml:space="preserve"> на этапе закупки</w:t>
      </w:r>
      <w:bookmarkEnd w:id="43"/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60" w:after="0"/>
        <w:jc w:val="both"/>
        <w:rPr>
          <w:rStyle w:val="Style8"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p>
      <w:pPr>
        <w:pStyle w:val="Normal"/>
        <w:numPr>
          <w:ilvl w:val="1"/>
          <w:numId w:val="5"/>
        </w:numPr>
        <w:spacing w:before="0" w:after="120"/>
        <w:jc w:val="both"/>
        <w:rPr>
          <w:sz w:val="24"/>
          <w:szCs w:val="24"/>
        </w:rPr>
      </w:pPr>
      <w:r>
        <w:rPr>
          <w:bCs/>
          <w:iCs/>
          <w:sz w:val="24"/>
          <w:szCs w:val="24"/>
          <w:lang w:eastAsia="x-none"/>
        </w:rPr>
        <w:t xml:space="preserve">В обоснование стоимости своей заявки Поставщик предоставляет Коммерческое предложение по форме </w:t>
      </w:r>
      <w:bookmarkStart w:id="45" w:name="_Hlk88325985"/>
      <w:r>
        <w:rPr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45"/>
      <w:r>
        <w:rPr>
          <w:bCs/>
          <w:iCs/>
          <w:sz w:val="24"/>
          <w:szCs w:val="24"/>
          <w:lang w:eastAsia="x-none"/>
        </w:rPr>
        <w:t>, приведенной в Документации о закупке.</w:t>
      </w:r>
    </w:p>
    <w:p>
      <w:pPr>
        <w:pStyle w:val="Normal"/>
        <w:numPr>
          <w:ilvl w:val="1"/>
          <w:numId w:val="5"/>
        </w:numPr>
        <w:spacing w:before="0" w:after="120"/>
        <w:jc w:val="both"/>
        <w:rPr>
          <w:sz w:val="24"/>
          <w:szCs w:val="24"/>
        </w:rPr>
      </w:pPr>
      <w:r>
        <w:rPr>
          <w:rFonts w:eastAsia="Calibri"/>
          <w:iCs/>
          <w:sz w:val="24"/>
          <w:szCs w:val="24"/>
          <w:lang w:val="x-none" w:eastAsia="x-none"/>
        </w:rPr>
        <w:t>Вместе с Коммерческим предложением Поставщ</w:t>
      </w:r>
      <w:bookmarkStart w:id="46" w:name="_GoBack"/>
      <w:bookmarkEnd w:id="46"/>
      <w:r>
        <w:rPr>
          <w:rFonts w:eastAsia="Calibri"/>
          <w:iCs/>
          <w:sz w:val="24"/>
          <w:szCs w:val="24"/>
          <w:lang w:val="x-none" w:eastAsia="x-none"/>
        </w:rPr>
        <w:t>ик должен предоставить в составе заявки спецификацию поставляемого оборудования по форме, приведенной в Приложении № 1 к настоящим Техническим требованиям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единицу).</w:t>
      </w:r>
    </w:p>
    <w:p>
      <w:pPr>
        <w:pStyle w:val="Normal"/>
        <w:spacing w:before="0" w:after="120"/>
        <w:jc w:val="both"/>
        <w:rPr>
          <w:rFonts w:eastAsia="Calibri"/>
          <w:i/>
          <w:i/>
          <w:iCs/>
          <w:sz w:val="24"/>
          <w:szCs w:val="24"/>
          <w:lang w:val="x-none" w:eastAsia="x-none"/>
        </w:rPr>
      </w:pPr>
      <w:r>
        <w:rPr>
          <w:rFonts w:eastAsia="Calibri"/>
          <w:i/>
          <w:iCs/>
          <w:sz w:val="24"/>
          <w:szCs w:val="24"/>
          <w:lang w:val="x-none" w:eastAsia="x-none"/>
        </w:rPr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iCs/>
          <w:caps/>
        </w:rPr>
      </w:pPr>
      <w:bookmarkStart w:id="47" w:name="__RefHeading___Toc7191_4263782815"/>
      <w:bookmarkStart w:id="48" w:name="_Toc133503007"/>
      <w:bookmarkEnd w:id="47"/>
      <w:r>
        <w:rPr>
          <w:iCs/>
        </w:rPr>
        <w:t>Приложения</w:t>
      </w:r>
      <w:bookmarkEnd w:id="48"/>
    </w:p>
    <w:p>
      <w:pPr>
        <w:pStyle w:val="Heading1"/>
        <w:keepLines/>
        <w:tabs>
          <w:tab w:val="clear" w:pos="0"/>
        </w:tabs>
        <w:ind w:left="0" w:hanging="0"/>
        <w:rPr>
          <w:iCs/>
        </w:rPr>
      </w:pPr>
      <w:r>
        <w:rPr>
          <w:iCs/>
        </w:rPr>
      </w:r>
    </w:p>
    <w:p>
      <w:pPr>
        <w:pStyle w:val="Normal"/>
        <w:widowControl/>
        <w:suppressAutoHyphens w:val="true"/>
        <w:bidi w:val="0"/>
        <w:spacing w:before="0" w:after="0"/>
        <w:ind w:left="1191" w:right="0" w:hanging="0"/>
        <w:jc w:val="left"/>
        <w:rPr>
          <w:rFonts w:ascii="Times New Roman" w:hAnsi="Times New Roman"/>
          <w:sz w:val="24"/>
          <w:szCs w:val="24"/>
        </w:rPr>
      </w:pPr>
      <w:bookmarkStart w:id="49" w:name="__RefHeading___Toc7193_4263782815"/>
      <w:bookmarkStart w:id="50" w:name="_Toc133503008"/>
      <w:bookmarkStart w:id="51" w:name="_Toc130454102"/>
      <w:bookmarkEnd w:id="49"/>
      <w:r>
        <w:rPr>
          <w:b w:val="false"/>
          <w:iCs/>
          <w:sz w:val="24"/>
          <w:szCs w:val="24"/>
        </w:rPr>
        <w:t>Приложение №1</w:t>
      </w:r>
      <w:r>
        <w:rPr>
          <w:b w:val="false"/>
          <w:iCs/>
          <w:sz w:val="24"/>
          <w:szCs w:val="24"/>
          <w:lang w:val="ru-RU"/>
        </w:rPr>
        <w:t xml:space="preserve">: </w:t>
      </w:r>
      <w:bookmarkStart w:id="52" w:name="_Toc130454103"/>
      <w:bookmarkEnd w:id="51"/>
      <w:r>
        <w:rPr>
          <w:b w:val="false"/>
          <w:iCs/>
          <w:sz w:val="24"/>
          <w:szCs w:val="24"/>
          <w:lang w:val="ru-RU"/>
        </w:rPr>
        <w:t>Спецификация поставляемой продукции</w:t>
      </w:r>
      <w:bookmarkEnd w:id="50"/>
      <w:bookmarkEnd w:id="52"/>
    </w:p>
    <w:p>
      <w:pPr>
        <w:pStyle w:val="Normal"/>
        <w:widowControl/>
        <w:suppressAutoHyphens w:val="true"/>
        <w:bidi w:val="0"/>
        <w:spacing w:before="0" w:after="0"/>
        <w:ind w:left="1191" w:right="0" w:hanging="0"/>
        <w:jc w:val="left"/>
        <w:rPr>
          <w:b w:val="false"/>
          <w:iCs/>
          <w:lang w:val="ru-RU"/>
        </w:rPr>
      </w:pPr>
      <w:r>
        <w:rPr>
          <w:b w:val="false"/>
          <w:iCs/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1191" w:right="0" w:hanging="0"/>
        <w:jc w:val="left"/>
        <w:rPr>
          <w:rFonts w:ascii="Times New Roman" w:hAnsi="Times New Roman"/>
          <w:sz w:val="24"/>
          <w:szCs w:val="24"/>
        </w:rPr>
      </w:pPr>
      <w:bookmarkStart w:id="53" w:name="__RefHeading___Toc7195_4263782815"/>
      <w:bookmarkStart w:id="54" w:name="_Toc130454102_Копия_1"/>
      <w:bookmarkStart w:id="55" w:name="_Toc133503008_Копия_1"/>
      <w:bookmarkEnd w:id="53"/>
      <w:r>
        <w:rPr>
          <w:sz w:val="24"/>
          <w:szCs w:val="24"/>
        </w:rPr>
        <w:t xml:space="preserve">Приложение №2: </w:t>
      </w:r>
      <w:bookmarkStart w:id="56" w:name="_Toc130454103_Копия_1"/>
      <w:bookmarkEnd w:id="54"/>
      <w:bookmarkEnd w:id="55"/>
      <w:r>
        <w:rPr>
          <w:sz w:val="24"/>
          <w:szCs w:val="24"/>
        </w:rPr>
        <w:t>П</w:t>
      </w:r>
      <w:bookmarkEnd w:id="56"/>
      <w:r>
        <w:rPr>
          <w:sz w:val="24"/>
          <w:szCs w:val="24"/>
        </w:rPr>
        <w:t>еречень и объем закупаемой продукции</w:t>
      </w:r>
    </w:p>
    <w:p>
      <w:pPr>
        <w:pStyle w:val="Normal"/>
        <w:widowControl/>
        <w:suppressAutoHyphens w:val="true"/>
        <w:bidi w:val="0"/>
        <w:spacing w:before="0" w:after="0"/>
        <w:ind w:left="1191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992" w:gutter="0" w:header="680" w:top="851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effect w:val="none"/>
        <w:szCs w:val="24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80"/>
  <w:defaultTabStop w:val="327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qFormat/>
    <w:rsid w:val="00ea61a8"/>
    <w:pPr>
      <w:tabs>
        <w:tab w:val="clear" w:pos="0"/>
      </w:tabs>
      <w:ind w:left="0" w:hanging="0"/>
      <w:outlineLvl w:val="1"/>
    </w:pPr>
    <w:rPr/>
  </w:style>
  <w:style w:type="paragraph" w:styleId="Heading3">
    <w:name w:val="Heading 3"/>
    <w:basedOn w:val="Normal"/>
    <w:link w:val="31"/>
    <w:autoRedefine/>
    <w:qFormat/>
    <w:rsid w:val="00035e96"/>
    <w:pPr>
      <w:keepNext w:val="true"/>
      <w:tabs>
        <w:tab w:val="clear" w:pos="327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 w:customStyle="1">
    <w:name w:val="Hyperlink"/>
    <w:basedOn w:val="DefaultParagraphFont"/>
    <w:uiPriority w:val="99"/>
    <w:unhideWhenUsed/>
    <w:rsid w:val="00f730dc"/>
    <w:rPr>
      <w:color w:val="0563C1" w:themeColor="hyperlink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Заголовок 1 Знак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i/>
      <w:shd w:fill="FFFF99" w:val="clear"/>
    </w:rPr>
  </w:style>
  <w:style w:type="character" w:styleId="Style9" w:customStyle="1">
    <w:name w:val="Подподпункт Знак"/>
    <w:qFormat/>
    <w:locked/>
    <w:rsid w:val="0025139e"/>
    <w:rPr>
      <w:sz w:val="26"/>
      <w:szCs w:val="26"/>
    </w:rPr>
  </w:style>
  <w:style w:type="character" w:styleId="31" w:customStyle="1">
    <w:name w:val="Заголовок 3 Знак1"/>
    <w:qFormat/>
    <w:rsid w:val="00b56f46"/>
    <w:rPr>
      <w:rFonts w:eastAsia="Calibri"/>
      <w:b/>
      <w:color w:val="00000A"/>
      <w:sz w:val="24"/>
      <w:szCs w:val="24"/>
      <w:lang w:val="x-none" w:eastAsia="x-none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6"/>
    <w:qFormat/>
    <w:rsid w:val="00de52bc"/>
    <w:rPr>
      <w:b/>
      <w:sz w:val="28"/>
    </w:rPr>
  </w:style>
  <w:style w:type="character" w:styleId="12" w:customStyle="1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главление 3 Знак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ы концевой сноски"/>
    <w:qFormat/>
    <w:rPr/>
  </w:style>
  <w:style w:type="character" w:styleId="WW8Num25z0" w:customStyle="1">
    <w:name w:val="WW8Num25z0"/>
    <w:qFormat/>
    <w:rPr>
      <w:b/>
    </w:rPr>
  </w:style>
  <w:style w:type="character" w:styleId="Style16">
    <w:name w:val="Символ нумерации"/>
    <w:qFormat/>
    <w:rPr/>
  </w:style>
  <w:style w:type="character" w:styleId="Style17">
    <w:name w:val="Маркеры"/>
    <w:qFormat/>
    <w:rPr>
      <w:rFonts w:ascii="OpenSymbol" w:hAnsi="OpenSymbol" w:eastAsia="OpenSymbol" w:cs="OpenSymbol"/>
    </w:rPr>
  </w:style>
  <w:style w:type="character" w:styleId="Style18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-">
    <w:name w:val="УРОВЕНЬ_- Знак"/>
    <w:basedOn w:val="DefaultParagraphFont"/>
    <w:qFormat/>
    <w:rPr>
      <w:rFonts w:ascii="Times New Roman" w:hAnsi="Times New Roman" w:eastAsia="Calibri" w:cs="Times New Roman"/>
      <w:sz w:val="26"/>
      <w:szCs w:val="28"/>
    </w:rPr>
  </w:style>
  <w:style w:type="character" w:styleId="111">
    <w:name w:val="УРОВЕНЬ_1.1. Знак"/>
    <w:qFormat/>
    <w:rPr>
      <w:rFonts w:ascii="Times New Roman" w:hAnsi="Times New Roman" w:eastAsia="Calibri" w:cs="Times New Roman"/>
      <w:b/>
      <w:sz w:val="26"/>
      <w:szCs w:val="28"/>
    </w:rPr>
  </w:style>
  <w:style w:type="character" w:styleId="33">
    <w:name w:val="УРОВЕНЬ_Абзац_тип3 Знак"/>
    <w:basedOn w:val="DefaultParagraphFont"/>
    <w:qFormat/>
    <w:rPr>
      <w:rFonts w:ascii="Times New Roman" w:hAnsi="Times New Roman" w:eastAsia="Calibri" w:cs="Times New Roman"/>
      <w:sz w:val="26"/>
      <w:szCs w:val="28"/>
    </w:rPr>
  </w:style>
  <w:style w:type="character" w:styleId="23">
    <w:name w:val="УРОВЕНЬ_Абзац_тип2 Знак"/>
    <w:basedOn w:val="DefaultParagraphFont"/>
    <w:qFormat/>
    <w:rPr>
      <w:rFonts w:ascii="Times New Roman" w:hAnsi="Times New Roman" w:eastAsia="Calibri" w:cs="Times New Roman"/>
      <w:sz w:val="26"/>
      <w:szCs w:val="28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21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2" w:customStyle="1">
    <w:name w:val="Раздел положения"/>
    <w:basedOn w:val="Normal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styleId="Style23" w:customStyle="1">
    <w:name w:val="Подраздел раздела положения"/>
    <w:basedOn w:val="Normal"/>
    <w:autoRedefine/>
    <w:qFormat/>
    <w:rsid w:val="007475ee"/>
    <w:pPr>
      <w:spacing w:before="80" w:after="80"/>
      <w:jc w:val="both"/>
    </w:pPr>
    <w:rPr/>
  </w:style>
  <w:style w:type="paragraph" w:styleId="FootnoteText">
    <w:name w:val="Footnote Text"/>
    <w:basedOn w:val="Normal"/>
    <w:pPr/>
    <w:rPr/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A"/>
      </w:pBdr>
      <w:spacing w:before="0" w:after="240"/>
      <w:jc w:val="center"/>
    </w:pPr>
    <w:rPr>
      <w:sz w:val="22"/>
      <w:szCs w:val="22"/>
    </w:rPr>
  </w:style>
  <w:style w:type="paragraph" w:styleId="211" w:customStyle="1">
    <w:name w:val="Заголовок 2 Знак1"/>
    <w:basedOn w:val="Normal"/>
    <w:qFormat/>
    <w:rsid w:val="00d561d9"/>
    <w:pPr>
      <w:pBdr>
        <w:bottom w:val="thickThinSmallGap" w:sz="24" w:space="1" w:color="00000A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rsid w:val="0076353a"/>
    <w:pPr>
      <w:tabs>
        <w:tab w:val="clear" w:pos="327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327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5" w:customStyle="1">
    <w:name w:val="Подпункт"/>
    <w:basedOn w:val="Normal"/>
    <w:qFormat/>
    <w:rsid w:val="0076353a"/>
    <w:pPr>
      <w:tabs>
        <w:tab w:val="clear" w:pos="327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qFormat/>
    <w:rsid w:val="0076353a"/>
    <w:pPr>
      <w:keepNext w:val="true"/>
      <w:tabs>
        <w:tab w:val="clear" w:pos="327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link w:val="32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6" w:customStyle="1">
    <w:name w:val="Раздел регламента"/>
    <w:basedOn w:val="Normal"/>
    <w:qFormat/>
    <w:rsid w:val="00e228fa"/>
    <w:pPr/>
    <w:rPr/>
  </w:style>
  <w:style w:type="paragraph" w:styleId="Style27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8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uiPriority w:val="39"/>
    <w:qFormat/>
    <w:rsid w:val="00d22f6d"/>
    <w:pPr>
      <w:keepLines/>
      <w:tabs>
        <w:tab w:val="clear" w:pos="0"/>
      </w:tabs>
      <w:spacing w:before="480" w:after="60"/>
      <w:ind w:left="0" w:hanging="0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9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Основной текст с отступом 3 Знак"/>
    <w:basedOn w:val="Normal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link w:val="22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00000A"/>
      <w:kern w:val="0"/>
      <w:sz w:val="28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0" w:customStyle="1">
    <w:name w:val="Пункт"/>
    <w:basedOn w:val="Normal"/>
    <w:qFormat/>
    <w:rsid w:val="00d22f6d"/>
    <w:pPr>
      <w:widowControl w:val="false"/>
      <w:tabs>
        <w:tab w:val="clear" w:pos="327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1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2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3" w:customStyle="1">
    <w:name w:val="Подподпункт"/>
    <w:basedOn w:val="Style25"/>
    <w:qFormat/>
    <w:rsid w:val="0025139e"/>
    <w:pPr>
      <w:tabs>
        <w:tab w:val="left" w:pos="1134" w:leader="none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4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-1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35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Text">
    <w:name w:val="Endnote Text"/>
    <w:basedOn w:val="Normal"/>
    <w:qFormat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styleId="Style36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7" w:customStyle="1">
    <w:name w:val="Содержимое таблицы"/>
    <w:basedOn w:val="Normal"/>
    <w:qFormat/>
    <w:pPr/>
    <w:rPr/>
  </w:style>
  <w:style w:type="paragraph" w:styleId="Style38" w:customStyle="1">
    <w:name w:val="Заголовок таблицы"/>
    <w:basedOn w:val="Style37"/>
    <w:qFormat/>
    <w:pPr/>
    <w:rPr/>
  </w:style>
  <w:style w:type="paragraph" w:styleId="110">
    <w:name w:val="УРОВЕНЬ_Абзац_тип1"/>
    <w:basedOn w:val="ListParagraph"/>
    <w:qFormat/>
    <w:pPr>
      <w:numPr>
        <w:ilvl w:val="5"/>
        <w:numId w:val="3"/>
      </w:numPr>
      <w:spacing w:lineRule="exact" w:line="360" w:before="120" w:after="0"/>
      <w:contextualSpacing w:val="false"/>
    </w:pPr>
    <w:rPr>
      <w:rFonts w:eastAsia="Calibri"/>
      <w:sz w:val="26"/>
      <w:lang w:eastAsia="en-US"/>
    </w:rPr>
  </w:style>
  <w:style w:type="paragraph" w:styleId="1111">
    <w:name w:val="УРОВЕНЬ_1.1.1."/>
    <w:basedOn w:val="ListParagraph"/>
    <w:qFormat/>
    <w:pPr>
      <w:numPr>
        <w:ilvl w:val="2"/>
        <w:numId w:val="3"/>
      </w:numPr>
      <w:spacing w:lineRule="exact" w:line="360" w:before="120" w:after="0"/>
      <w:contextualSpacing w:val="false"/>
      <w:outlineLvl w:val="2"/>
    </w:pPr>
    <w:rPr>
      <w:rFonts w:eastAsia="Calibri"/>
      <w:sz w:val="26"/>
      <w:lang w:eastAsia="en-US"/>
    </w:rPr>
  </w:style>
  <w:style w:type="paragraph" w:styleId="112">
    <w:name w:val="УРОВЕНЬ_1.1."/>
    <w:basedOn w:val="ListParagraph"/>
    <w:qFormat/>
    <w:pPr>
      <w:keepNext w:val="true"/>
      <w:numPr>
        <w:ilvl w:val="1"/>
        <w:numId w:val="3"/>
      </w:numPr>
      <w:spacing w:lineRule="exact" w:line="360" w:before="240" w:after="0"/>
      <w:contextualSpacing w:val="false"/>
      <w:outlineLvl w:val="1"/>
    </w:pPr>
    <w:rPr>
      <w:rFonts w:eastAsia="Calibri"/>
      <w:b/>
      <w:sz w:val="26"/>
      <w:lang w:eastAsia="en-US"/>
    </w:rPr>
  </w:style>
  <w:style w:type="paragraph" w:styleId="Indexheading2">
    <w:name w:val="index heading2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3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25" w:customStyle="1">
    <w:name w:val="WW8Num25"/>
    <w:qFormat/>
  </w:style>
  <w:style w:type="numbering" w:styleId="821902621">
    <w:name w:val="821902621"/>
    <w:qFormat/>
  </w:style>
  <w:style w:type="numbering" w:styleId="32917521331">
    <w:name w:val="3291752133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1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1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411EF-C638-4E22-9407-04BEDCD65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2598</TotalTime>
  <Application>AlterOffice/3.4.0.9$Linux_X86_64 LibreOffice_project/b8daf9e823b1a5463a2f48435ddc2e8696e7d4fc</Application>
  <AppVersion>15.0000</AppVersion>
  <Pages>12</Pages>
  <Words>1250</Words>
  <Characters>8455</Characters>
  <CharactersWithSpaces>9417</CharactersWithSpaces>
  <Paragraphs>286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2023-04-28T06:34:00Z</dcterms:created>
  <dc:creator>Быстров Олег Геннадьевич</dc:creator>
  <dc:description/>
  <dc:language>ru-RU</dc:language>
  <cp:lastModifiedBy>ilyichevdu@corp.gidroogk.com</cp:lastModifiedBy>
  <dcterms:modified xsi:type="dcterms:W3CDTF">2026-05-27T09:35:58Z</dcterms:modified>
  <cp:revision>65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