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5.xml" ContentType="application/vnd.openxmlformats-officedocument.wordprocessingml.header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0"/>
        <w:keepNext w:val="true"/>
        <w:keepLines w:val="true"/>
        <w:pBdr/>
        <w:spacing/>
        <w:ind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                                                                                            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на оказание услуг</w:t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920"/>
        <w:pBdr/>
        <w:spacing w:after="119" w:before="119"/>
        <w:ind/>
        <w:jc w:val="center"/>
        <w:rPr/>
      </w:pPr>
      <w:r>
        <w:rPr>
          <w:b/>
          <w:bCs/>
          <w:sz w:val="26"/>
          <w:szCs w:val="26"/>
        </w:rPr>
        <w:t xml:space="preserve">«ОКПД2 — 45.20.11200 Оказание услуг по ремонту зарубежного автотранспорта (персональные автомобили)»</w:t>
      </w:r>
      <w:r>
        <w:rPr>
          <w:b/>
          <w:bCs/>
          <w:sz w:val="26"/>
          <w:szCs w:val="26"/>
        </w:rPr>
      </w:r>
      <w:r/>
    </w:p>
    <w:p>
      <w:pPr>
        <w:pStyle w:val="920"/>
        <w:keepNext w:val="true"/>
        <w:pBdr/>
        <w:spacing w:after="0" w:beforeAutospacing="1"/>
        <w:ind/>
        <w:jc w:val="center"/>
        <w:rPr/>
      </w:pPr>
      <w:r>
        <w:rPr>
          <w:b/>
          <w:bCs/>
          <w:sz w:val="26"/>
          <w:szCs w:val="26"/>
        </w:rPr>
      </w:r>
      <w:r/>
    </w:p>
    <w:p>
      <w:pPr>
        <w:pStyle w:val="920"/>
        <w:keepNext w:val="true"/>
        <w:keepLines w:val="true"/>
        <w:pBdr/>
        <w:spacing/>
        <w:ind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  <w:r>
        <w:rPr>
          <w:rFonts w:eastAsia="Calibri"/>
          <w:b/>
          <w:i/>
          <w:sz w:val="26"/>
          <w:szCs w:val="26"/>
        </w:rPr>
      </w:r>
      <w:r>
        <w:rPr>
          <w:rFonts w:eastAsia="Calibri"/>
          <w:b/>
          <w:i/>
          <w:sz w:val="26"/>
          <w:szCs w:val="26"/>
        </w:rPr>
      </w:r>
    </w:p>
    <w:p>
      <w:pPr>
        <w:pStyle w:val="920"/>
        <w:keepNext w:val="true"/>
        <w:keepLines w:val="true"/>
        <w:pBdr/>
        <w:spacing/>
        <w:ind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br w:type="page" w:clear="all"/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0"/>
        <w:pBdr/>
        <w:spacing/>
        <w:ind/>
        <w:jc w:val="center"/>
        <w:rPr>
          <w:b/>
        </w:rPr>
      </w:pPr>
      <w:r>
        <w:rPr>
          <w:b/>
        </w:rPr>
        <w:t xml:space="preserve">СОДЕРЖАНИЕ</w:t>
      </w:r>
      <w:r>
        <w:rPr>
          <w:b/>
        </w:rPr>
      </w:r>
      <w:r>
        <w:rPr>
          <w:b/>
        </w:rPr>
      </w:r>
    </w:p>
    <w:sdt>
      <w:sdtPr>
        <w15:appearance w15:val="boundingBox"/>
        <w:docPartObj>
          <w:docPartGallery w:val="Table of Contents"/>
          <w:docPartUnique w:val="true"/>
        </w:docPartObj>
        <w:rPr/>
      </w:sdtPr>
      <w:sdtContent>
        <w:p>
          <w:pPr>
            <w:pStyle w:val="998"/>
            <w:pBdr/>
            <w:tabs>
              <w:tab w:val="left" w:leader="none" w:pos="560"/>
              <w:tab w:val="clear" w:leader="none" w:pos="708"/>
              <w:tab w:val="right" w:leader="dot" w:pos="9911"/>
            </w:tabs>
            <w:spacing/>
            <w:ind/>
            <w:rPr>
              <w:rFonts w:ascii="Calibri" w:hAnsi="Calibri" w:eastAsia="新細明體" w:cs="Arial" w:asciiTheme="minorHAnsi" w:hAnsiTheme="minorHAnsi" w:eastAsiaTheme="minorEastAsia" w:cstheme="minorBidi"/>
              <w:b w:val="0"/>
              <w:bCs w:val="0"/>
            </w:rPr>
          </w:pPr>
          <w:r>
            <w:fldChar w:fldCharType="begin"/>
          </w:r>
          <w:r>
            <w:rPr>
              <w:vanish w:val="0"/>
            </w:rPr>
            <w:instrText xml:space="preserve"> TOC \z \o "1-4" \u \h</w:instrText>
          </w:r>
          <w:r>
            <w:rPr>
              <w:vanish w:val="0"/>
            </w:rPr>
            <w:fldChar w:fldCharType="separate"/>
          </w:r>
          <w:hyperlink w:tooltip="#_Toc54643694" w:anchor="_Toc54643694" w:history="1">
            <w:r>
              <w:rPr>
                <w:vanish w:val="0"/>
              </w:rPr>
              <w:t xml:space="preserve">1.</w:t>
            </w:r>
            <w:r>
              <w:rPr>
                <w:rFonts w:ascii="Calibri" w:hAnsi="Calibri" w:eastAsia="新細明體" w:cs="Arial" w:asciiTheme="minorHAnsi" w:hAnsiTheme="minorHAnsi" w:eastAsiaTheme="minorEastAsia" w:cstheme="minorBidi"/>
                <w:b w:val="0"/>
                <w:bCs w:val="0"/>
              </w:rPr>
              <w:tab/>
            </w:r>
            <w:r>
              <w:t xml:space="preserve">Общие сведения</w:t>
            </w:r>
            <w:r>
              <w:fldChar w:fldCharType="begin"/>
            </w:r>
            <w:r>
              <w:instrText xml:space="preserve">PAGEREF _Toc54643694 \h</w:instrText>
            </w:r>
            <w:r>
              <w:fldChar w:fldCharType="separate"/>
            </w:r>
            <w:r>
              <w:rPr>
                <w:vanish w:val="0"/>
              </w:rPr>
              <w:tab/>
              <w:t xml:space="preserve">3</w:t>
            </w:r>
            <w:r>
              <w:fldChar w:fldCharType="end"/>
            </w:r>
          </w:hyperlink>
          <w:r>
            <w:rPr>
              <w:rFonts w:ascii="Calibri" w:hAnsi="Calibri" w:eastAsia="新細明體" w:cs="Arial" w:asciiTheme="minorHAnsi" w:hAnsiTheme="minorHAnsi" w:eastAsiaTheme="minorEastAsia" w:cstheme="minorBidi"/>
              <w:b w:val="0"/>
              <w:bCs w:val="0"/>
            </w:rPr>
          </w:r>
          <w:r>
            <w:rPr>
              <w:rFonts w:ascii="Calibri" w:hAnsi="Calibri" w:eastAsia="新細明體" w:cs="Arial" w:asciiTheme="minorHAnsi" w:hAnsiTheme="minorHAnsi" w:eastAsiaTheme="minorEastAsia" w:cstheme="minorBidi"/>
              <w:b w:val="0"/>
              <w:bCs w:val="0"/>
            </w:rPr>
          </w:r>
        </w:p>
        <w:p>
          <w:pPr>
            <w:pStyle w:val="1009"/>
            <w:pBdr/>
            <w:spacing/>
            <w:ind/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pPr>
          <w:r/>
          <w:hyperlink w:tooltip="#_Toc54643695" w:anchor="_Toc54643695" w:history="1">
            <w:r>
              <w:rPr>
                <w:iCs/>
                <w:vanish w:val="0"/>
              </w:rPr>
              <w:t xml:space="preserve">1.1.</w:t>
            </w:r>
            <w:r>
              <w:rPr>
                <w:rFonts w:ascii="Calibri" w:hAnsi="Calibri" w:eastAsia="新細明體" w:cs="Arial" w:asciiTheme="minorHAnsi" w:hAnsiTheme="minorHAnsi" w:eastAsiaTheme="minorEastAsia" w:cstheme="minorBidi"/>
                <w:sz w:val="24"/>
                <w:szCs w:val="24"/>
              </w:rPr>
              <w:tab/>
            </w:r>
            <w:r>
              <w:t xml:space="preserve">Обозначения и сокращения</w:t>
            </w:r>
            <w:r>
              <w:fldChar w:fldCharType="begin"/>
            </w:r>
            <w:r>
              <w:instrText xml:space="preserve">PAGEREF _Toc54643695 \h</w:instrText>
            </w:r>
            <w:r>
              <w:fldChar w:fldCharType="separate"/>
            </w:r>
            <w:r>
              <w:rPr>
                <w:vanish w:val="0"/>
              </w:rPr>
              <w:tab/>
              <w:t xml:space="preserve">3</w:t>
            </w:r>
            <w:r>
              <w:fldChar w:fldCharType="end"/>
            </w:r>
          </w:hyperlink>
          <w:r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r>
          <w:r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r>
        </w:p>
        <w:p>
          <w:pPr>
            <w:pStyle w:val="1009"/>
            <w:pBdr/>
            <w:spacing/>
            <w:ind/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pPr>
          <w:r/>
          <w:hyperlink w:tooltip="#_Toc54643696" w:anchor="_Toc54643696" w:history="1">
            <w:r>
              <w:rPr>
                <w:iCs/>
                <w:vanish w:val="0"/>
              </w:rPr>
              <w:t xml:space="preserve">1.2.</w:t>
            </w:r>
            <w:r>
              <w:rPr>
                <w:rFonts w:ascii="Calibri" w:hAnsi="Calibri" w:eastAsia="新細明體" w:cs="Arial" w:asciiTheme="minorHAnsi" w:hAnsiTheme="minorHAnsi" w:eastAsiaTheme="minorEastAsia" w:cstheme="minorBidi"/>
                <w:sz w:val="24"/>
                <w:szCs w:val="24"/>
              </w:rPr>
              <w:tab/>
            </w:r>
            <w:r>
              <w:t xml:space="preserve">Наименование закупаемой продукции</w:t>
            </w:r>
            <w:r>
              <w:fldChar w:fldCharType="begin"/>
            </w:r>
            <w:r>
              <w:instrText xml:space="preserve">PAGEREF _Toc54643696 \h</w:instrText>
            </w:r>
            <w:r>
              <w:fldChar w:fldCharType="separate"/>
            </w:r>
            <w:r>
              <w:rPr>
                <w:vanish w:val="0"/>
              </w:rPr>
              <w:tab/>
              <w:t xml:space="preserve">3</w:t>
            </w:r>
            <w:r>
              <w:fldChar w:fldCharType="end"/>
            </w:r>
          </w:hyperlink>
          <w:r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r>
          <w:r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r>
        </w:p>
        <w:p>
          <w:pPr>
            <w:pStyle w:val="1009"/>
            <w:pBdr/>
            <w:spacing/>
            <w:ind/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pPr>
          <w:r/>
          <w:hyperlink w:tooltip="#_Toc54643697" w:anchor="_Toc54643697" w:history="1">
            <w:r>
              <w:rPr>
                <w:iCs/>
                <w:vanish w:val="0"/>
              </w:rPr>
              <w:t xml:space="preserve">1.3.</w:t>
            </w:r>
            <w:r>
              <w:rPr>
                <w:rFonts w:ascii="Calibri" w:hAnsi="Calibri" w:eastAsia="新細明體" w:cs="Arial" w:asciiTheme="minorHAnsi" w:hAnsiTheme="minorHAnsi" w:eastAsiaTheme="minorEastAsia" w:cstheme="minorBidi"/>
                <w:sz w:val="24"/>
                <w:szCs w:val="24"/>
              </w:rPr>
              <w:tab/>
            </w:r>
            <w:r>
              <w:t xml:space="preserve">Цель оказания услуг</w:t>
            </w:r>
            <w:r>
              <w:fldChar w:fldCharType="begin"/>
            </w:r>
            <w:r>
              <w:instrText xml:space="preserve">PAGEREF _Toc54643697 \h</w:instrText>
            </w:r>
            <w:r>
              <w:fldChar w:fldCharType="separate"/>
            </w:r>
            <w:r>
              <w:rPr>
                <w:vanish w:val="0"/>
              </w:rPr>
              <w:tab/>
              <w:t xml:space="preserve">3</w:t>
            </w:r>
            <w:r>
              <w:fldChar w:fldCharType="end"/>
            </w:r>
          </w:hyperlink>
          <w:r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r>
          <w:r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r>
        </w:p>
        <w:p>
          <w:pPr>
            <w:pStyle w:val="920"/>
            <w:pBdr/>
            <w:spacing/>
            <w:ind/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pPr>
          <w:r>
            <w:rPr>
              <w:vanish w:val="0"/>
            </w:rPr>
            <w:t xml:space="preserve">        </w:t>
          </w:r>
          <w:r>
            <w:rPr>
              <w:vanish w:val="0"/>
              <w:sz w:val="20"/>
              <w:szCs w:val="20"/>
            </w:rPr>
            <w:t xml:space="preserve">1.4.     Существующие положения                                                                                                                               3</w:t>
          </w:r>
          <w:r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r>
          <w:r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r>
        </w:p>
        <w:p>
          <w:pPr>
            <w:pStyle w:val="920"/>
            <w:pBdr/>
            <w:spacing/>
            <w:ind/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pPr>
          <w:r>
            <w:rPr>
              <w:rFonts w:ascii="Calibri" w:hAnsi="Calibri" w:eastAsia="新細明體" w:cs="Arial" w:asciiTheme="minorHAnsi" w:hAnsiTheme="minorHAnsi" w:eastAsiaTheme="minorEastAsia" w:cstheme="minorBidi"/>
              <w:vanish w:val="0"/>
              <w:sz w:val="24"/>
              <w:szCs w:val="24"/>
            </w:rPr>
            <w:t xml:space="preserve">    </w:t>
          </w:r>
          <w:r>
            <w:rPr>
              <w:rFonts w:eastAsia="新細明體" w:cs="Arial" w:eastAsiaTheme="minorEastAsia" w:cstheme="minorBidi"/>
              <w:vanish w:val="0"/>
              <w:sz w:val="20"/>
              <w:szCs w:val="20"/>
            </w:rPr>
            <w:t xml:space="preserve">                                                                                                                       </w:t>
          </w:r>
          <w:r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r>
          <w:r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r>
        </w:p>
        <w:p>
          <w:pPr>
            <w:pStyle w:val="998"/>
            <w:pBdr/>
            <w:tabs>
              <w:tab w:val="clear" w:leader="none" w:pos="708"/>
              <w:tab w:val="right" w:leader="dot" w:pos="9911"/>
            </w:tabs>
            <w:spacing/>
            <w:ind/>
            <w:rPr>
              <w:rFonts w:ascii="Calibri" w:hAnsi="Calibri" w:eastAsia="新細明體" w:cs="Arial" w:asciiTheme="minorHAnsi" w:hAnsiTheme="minorHAnsi" w:eastAsiaTheme="minorEastAsia" w:cstheme="minorBidi"/>
              <w:b w:val="0"/>
              <w:bCs w:val="0"/>
            </w:rPr>
          </w:pPr>
          <w:r/>
          <w:hyperlink w:tooltip="#_Toc54643699" w:anchor="_Toc54643699" w:history="1">
            <w:r>
              <w:rPr>
                <w:vanish w:val="0"/>
              </w:rPr>
              <w:t xml:space="preserve">Таблица 1. Перечень необходимых основных услуг для проведения работ по техническому обслуживанию и ремонту автомобилей ....................................................................................... </w:t>
            </w:r>
          </w:hyperlink>
          <w:r>
            <w:rPr>
              <w:vanish w:val="0"/>
            </w:rPr>
            <w:t xml:space="preserve">4-5</w:t>
          </w:r>
          <w:r>
            <w:rPr>
              <w:rFonts w:ascii="Calibri" w:hAnsi="Calibri" w:eastAsia="新細明體" w:cs="Arial" w:asciiTheme="minorHAnsi" w:hAnsiTheme="minorHAnsi" w:eastAsiaTheme="minorEastAsia" w:cstheme="minorBidi"/>
              <w:b w:val="0"/>
              <w:bCs w:val="0"/>
            </w:rPr>
          </w:r>
          <w:r>
            <w:rPr>
              <w:rFonts w:ascii="Calibri" w:hAnsi="Calibri" w:eastAsia="新細明體" w:cs="Arial" w:asciiTheme="minorHAnsi" w:hAnsiTheme="minorHAnsi" w:eastAsiaTheme="minorEastAsia" w:cstheme="minorBidi"/>
              <w:b w:val="0"/>
              <w:bCs w:val="0"/>
            </w:rPr>
          </w:r>
        </w:p>
        <w:p>
          <w:pPr>
            <w:pStyle w:val="1009"/>
            <w:pBdr/>
            <w:spacing/>
            <w:ind/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pPr>
          <w:r/>
          <w:hyperlink w:tooltip="#_Toc54643700" w:anchor="_Toc54643700" w:history="1">
            <w:r>
              <w:rPr>
                <w:iCs/>
                <w:vanish w:val="0"/>
              </w:rPr>
              <w:t xml:space="preserve">1.5.</w:t>
            </w:r>
            <w:r>
              <w:rPr>
                <w:rFonts w:ascii="Calibri" w:hAnsi="Calibri" w:eastAsia="新細明體" w:cs="Arial" w:asciiTheme="minorHAnsi" w:hAnsiTheme="minorHAnsi" w:eastAsiaTheme="minorEastAsia" w:cstheme="minorBidi"/>
                <w:sz w:val="24"/>
                <w:szCs w:val="24"/>
              </w:rPr>
              <w:tab/>
            </w:r>
            <w:r>
    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fldChar w:fldCharType="begin"/>
            </w:r>
            <w:r>
              <w:instrText xml:space="preserve">PAGEREF _Toc54643700 \h</w:instrText>
            </w:r>
            <w:r>
              <w:fldChar w:fldCharType="separate"/>
            </w:r>
            <w:r>
              <w:rPr>
                <w:vanish w:val="0"/>
              </w:rPr>
              <w:tab/>
              <w:t xml:space="preserve">6</w:t>
            </w:r>
            <w:r>
              <w:fldChar w:fldCharType="end"/>
            </w:r>
          </w:hyperlink>
          <w:r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r>
          <w:r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r>
        </w:p>
        <w:p>
          <w:pPr>
            <w:pStyle w:val="998"/>
            <w:pBdr/>
            <w:tabs>
              <w:tab w:val="left" w:leader="none" w:pos="560"/>
              <w:tab w:val="clear" w:leader="none" w:pos="708"/>
              <w:tab w:val="right" w:leader="dot" w:pos="9911"/>
            </w:tabs>
            <w:spacing/>
            <w:ind/>
            <w:rPr>
              <w:rFonts w:ascii="Calibri" w:hAnsi="Calibri" w:eastAsia="新細明體" w:cs="Arial" w:asciiTheme="minorHAnsi" w:hAnsiTheme="minorHAnsi" w:eastAsiaTheme="minorEastAsia" w:cstheme="minorBidi"/>
              <w:b w:val="0"/>
              <w:bCs w:val="0"/>
            </w:rPr>
          </w:pPr>
          <w:r/>
          <w:hyperlink w:tooltip="#_Toc54643702" w:anchor="_Toc54643702" w:history="1">
            <w:r>
              <w:rPr>
                <w:vanish w:val="0"/>
              </w:rPr>
              <w:t xml:space="preserve">2.</w:t>
            </w:r>
            <w:r>
              <w:rPr>
                <w:rFonts w:ascii="Calibri" w:hAnsi="Calibri" w:eastAsia="新細明體" w:cs="Arial" w:asciiTheme="minorHAnsi" w:hAnsiTheme="minorHAnsi" w:eastAsiaTheme="minorEastAsia" w:cstheme="minorBidi"/>
                <w:b w:val="0"/>
                <w:bCs w:val="0"/>
              </w:rPr>
              <w:tab/>
            </w:r>
            <w:r>
              <w:rPr>
                <w:iCs/>
              </w:rPr>
              <w:t xml:space="preserve">Требования к работам по техническому обслуживанию и ремонту автот</w:t>
            </w:r>
            <w:r>
              <w:rPr>
                <w:vanish w:val="0"/>
              </w:rPr>
              <w:t xml:space="preserve">ранспорта</w:t>
              <w:tab/>
            </w:r>
          </w:hyperlink>
          <w:r>
            <w:rPr>
              <w:rFonts w:eastAsia="新細明體" w:cs="Arial" w:eastAsiaTheme="minorEastAsia" w:cstheme="minorBidi"/>
              <w:b/>
              <w:bCs/>
              <w:vanish w:val="0"/>
            </w:rPr>
            <w:t xml:space="preserve">6</w:t>
          </w:r>
          <w:r>
            <w:rPr>
              <w:rFonts w:ascii="Calibri" w:hAnsi="Calibri" w:eastAsia="新細明體" w:cs="Arial" w:asciiTheme="minorHAnsi" w:hAnsiTheme="minorHAnsi" w:eastAsiaTheme="minorEastAsia" w:cstheme="minorBidi"/>
              <w:b w:val="0"/>
              <w:bCs w:val="0"/>
            </w:rPr>
          </w:r>
          <w:r>
            <w:rPr>
              <w:rFonts w:ascii="Calibri" w:hAnsi="Calibri" w:eastAsia="新細明體" w:cs="Arial" w:asciiTheme="minorHAnsi" w:hAnsiTheme="minorHAnsi" w:eastAsiaTheme="minorEastAsia" w:cstheme="minorBidi"/>
              <w:b w:val="0"/>
              <w:bCs w:val="0"/>
            </w:rPr>
          </w:r>
        </w:p>
        <w:p>
          <w:pPr>
            <w:pStyle w:val="1009"/>
            <w:pBdr/>
            <w:spacing/>
            <w:ind/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pPr>
          <w:r/>
          <w:hyperlink w:tooltip="#_Toc54643703" w:anchor="_Toc54643703" w:history="1">
            <w:r>
              <w:rPr>
                <w:vanish w:val="0"/>
              </w:rPr>
            </w:r>
            <w:r>
              <w:rPr>
                <w:iCs/>
                <w:vanish w:val="0"/>
              </w:rPr>
              <w:t xml:space="preserve">2.1.</w:t>
            </w:r>
            <w:r>
              <w:rPr>
                <w:rFonts w:ascii="Calibri" w:hAnsi="Calibri" w:eastAsia="新細明體" w:cs="Arial" w:asciiTheme="minorHAnsi" w:hAnsiTheme="minorHAnsi" w:eastAsiaTheme="minorEastAsia" w:cstheme="minorBidi"/>
                <w:sz w:val="24"/>
                <w:szCs w:val="24"/>
              </w:rPr>
              <w:tab/>
            </w:r>
            <w:r>
              <w:t xml:space="preserve">Требования к срокам оказания услуг</w:t>
            </w:r>
            <w:r>
              <w:rPr>
                <w:vanish w:val="0"/>
              </w:rPr>
              <w:tab/>
            </w:r>
            <w:r>
              <w:rPr>
                <w:vanish w:val="0"/>
              </w:rPr>
            </w:r>
          </w:hyperlink>
          <w:r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  <w:t xml:space="preserve">6</w:t>
          </w:r>
          <w:r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r>
          <w:r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r>
        </w:p>
        <w:p>
          <w:pPr>
            <w:pStyle w:val="998"/>
            <w:pBdr/>
            <w:tabs>
              <w:tab w:val="clear" w:leader="none" w:pos="708"/>
              <w:tab w:val="right" w:leader="dot" w:pos="9911"/>
            </w:tabs>
            <w:spacing/>
            <w:ind/>
            <w:rPr>
              <w:rFonts w:ascii="Calibri" w:hAnsi="Calibri" w:eastAsia="新細明體" w:cs="Arial" w:asciiTheme="minorHAnsi" w:hAnsiTheme="minorHAnsi" w:eastAsiaTheme="minorEastAsia" w:cstheme="minorBidi"/>
              <w:b w:val="0"/>
              <w:bCs w:val="0"/>
            </w:rPr>
          </w:pPr>
          <w:r/>
          <w:hyperlink w:tooltip="#_Toc54643705" w:anchor="_Toc54643705" w:history="1">
            <w:r>
              <w:rPr>
                <w:vanish w:val="0"/>
              </w:rPr>
              <w:t xml:space="preserve">Таблица 2. Требования к срокам оказания услуг..</w:t>
              <w:tab/>
            </w:r>
          </w:hyperlink>
          <w:r>
            <w:rPr>
              <w:rFonts w:ascii="Calibri" w:hAnsi="Calibri" w:eastAsia="新細明體" w:cs="Arial" w:asciiTheme="minorHAnsi" w:hAnsiTheme="minorHAnsi" w:eastAsiaTheme="minorEastAsia" w:cstheme="minorBidi"/>
              <w:b/>
              <w:bCs/>
            </w:rPr>
            <w:t xml:space="preserve">6</w:t>
          </w:r>
          <w:r>
            <w:rPr>
              <w:rFonts w:ascii="Calibri" w:hAnsi="Calibri" w:eastAsia="新細明體" w:cs="Arial" w:asciiTheme="minorHAnsi" w:hAnsiTheme="minorHAnsi" w:eastAsiaTheme="minorEastAsia" w:cstheme="minorBidi"/>
              <w:b w:val="0"/>
              <w:bCs w:val="0"/>
            </w:rPr>
          </w:r>
          <w:r>
            <w:rPr>
              <w:rFonts w:ascii="Calibri" w:hAnsi="Calibri" w:eastAsia="新細明體" w:cs="Arial" w:asciiTheme="minorHAnsi" w:hAnsiTheme="minorHAnsi" w:eastAsiaTheme="minorEastAsia" w:cstheme="minorBidi"/>
              <w:b w:val="0"/>
              <w:bCs w:val="0"/>
            </w:rPr>
          </w:r>
        </w:p>
        <w:p>
          <w:pPr>
            <w:pStyle w:val="1009"/>
            <w:pBdr/>
            <w:spacing/>
            <w:ind/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pPr>
          <w:r/>
          <w:hyperlink w:tooltip="#_Toc54643708" w:anchor="_Toc54643708" w:history="1">
            <w:r>
              <w:rPr>
                <w:iCs/>
                <w:vanish w:val="0"/>
              </w:rPr>
              <w:t xml:space="preserve">2.2.</w:t>
            </w:r>
            <w:r>
              <w:rPr>
                <w:rFonts w:ascii="Calibri" w:hAnsi="Calibri" w:eastAsia="新細明體" w:cs="Arial" w:asciiTheme="minorHAnsi" w:hAnsiTheme="minorHAnsi" w:eastAsiaTheme="minorEastAsia" w:cstheme="minorBidi"/>
                <w:sz w:val="24"/>
                <w:szCs w:val="24"/>
              </w:rPr>
              <w:tab/>
            </w:r>
            <w:r>
              <w:t xml:space="preserve">Требования к качеству услуг</w:t>
            </w:r>
            <w:r>
              <w:fldChar w:fldCharType="begin"/>
            </w:r>
            <w:r>
              <w:instrText xml:space="preserve">PAGEREF _Toc54643708 \h</w:instrText>
            </w:r>
            <w:r>
              <w:fldChar w:fldCharType="separate"/>
            </w:r>
            <w:r>
              <w:rPr>
                <w:vanish w:val="0"/>
              </w:rPr>
              <w:tab/>
              <w:t xml:space="preserve">7</w:t>
            </w:r>
            <w:r>
              <w:fldChar w:fldCharType="end"/>
            </w:r>
          </w:hyperlink>
          <w:r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r>
          <w:r>
            <w:rPr>
              <w:rFonts w:ascii="Calibri" w:hAnsi="Calibri" w:eastAsia="新細明體" w:cs="Arial" w:asciiTheme="minorHAnsi" w:hAnsiTheme="minorHAnsi" w:eastAsiaTheme="minorEastAsia" w:cstheme="minorBidi"/>
              <w:sz w:val="24"/>
              <w:szCs w:val="24"/>
            </w:rPr>
          </w:r>
        </w:p>
        <w:p>
          <w:pPr>
            <w:pStyle w:val="998"/>
            <w:pBdr/>
            <w:tabs>
              <w:tab w:val="clear" w:leader="none" w:pos="708"/>
              <w:tab w:val="right" w:leader="dot" w:pos="9911"/>
            </w:tabs>
            <w:spacing/>
            <w:ind/>
            <w:rPr>
              <w:rFonts w:ascii="Calibri" w:hAnsi="Calibri" w:eastAsia="新細明體" w:cs="Arial" w:asciiTheme="minorHAnsi" w:hAnsiTheme="minorHAnsi" w:eastAsiaTheme="minorEastAsia" w:cstheme="minorBidi"/>
              <w:b w:val="0"/>
              <w:bCs w:val="0"/>
            </w:rPr>
          </w:pPr>
          <w:r/>
          <w:hyperlink w:tooltip="#_Toc54643709" w:anchor="_Toc54643709" w:history="1">
            <w:r>
              <w:fldChar w:fldCharType="begin"/>
            </w:r>
            <w:r>
              <w:instrText xml:space="preserve">PAGEREF _Toc54643709 \h</w:instrText>
            </w:r>
            <w:r>
              <w:fldChar w:fldCharType="separate"/>
            </w:r>
            <w:r>
              <w:rPr>
                <w:vanish w:val="0"/>
              </w:rPr>
              <w:t xml:space="preserve">Таблица 3. Требования к качеству услуг......................................................................................7-8</w:t>
            </w:r>
            <w:r>
              <w:fldChar w:fldCharType="end"/>
            </w:r>
          </w:hyperlink>
          <w:r>
            <w:rPr>
              <w:vanish w:val="0"/>
            </w:rPr>
            <w:fldChar w:fldCharType="end"/>
          </w:r>
          <w:r>
            <w:rPr>
              <w:rFonts w:ascii="Calibri" w:hAnsi="Calibri" w:eastAsia="新細明體" w:cs="Arial" w:asciiTheme="minorHAnsi" w:hAnsiTheme="minorHAnsi" w:eastAsiaTheme="minorEastAsia" w:cstheme="minorBidi"/>
              <w:b w:val="0"/>
              <w:bCs w:val="0"/>
            </w:rPr>
          </w:r>
          <w:r>
            <w:rPr>
              <w:rFonts w:ascii="Calibri" w:hAnsi="Calibri" w:eastAsia="新細明體" w:cs="Arial" w:asciiTheme="minorHAnsi" w:hAnsiTheme="minorHAnsi" w:eastAsiaTheme="minorEastAsia" w:cstheme="minorBidi"/>
              <w:b w:val="0"/>
              <w:bCs w:val="0"/>
            </w:rPr>
          </w:r>
        </w:p>
      </w:sdtContent>
    </w:sdt>
    <w:p>
      <w:pPr>
        <w:pStyle w:val="998"/>
        <w:pBdr/>
        <w:tabs>
          <w:tab w:val="clear" w:leader="none" w:pos="708"/>
          <w:tab w:val="right" w:leader="dot" w:pos="9911"/>
        </w:tabs>
        <w:spacing/>
        <w:ind/>
        <w:rPr>
          <w:rFonts w:ascii="Calibri" w:hAnsi="Calibri" w:eastAsia="新細明體" w:cs="Arial" w:asciiTheme="minorHAnsi" w:hAnsiTheme="minorHAnsi" w:eastAsiaTheme="minorEastAsia" w:cstheme="minorBidi"/>
          <w:b w:val="0"/>
          <w:bCs w:val="0"/>
        </w:rPr>
      </w:pPr>
      <w:r>
        <w:rPr>
          <w:rFonts w:ascii="Calibri" w:hAnsi="Calibri" w:eastAsia="新細明體" w:cs="Arial" w:eastAsiaTheme="minorEastAsia" w:cstheme="minorBidi"/>
          <w:b w:val="0"/>
          <w:bCs w:val="0"/>
        </w:rPr>
      </w:r>
      <w:r>
        <w:rPr>
          <w:rFonts w:ascii="Calibri" w:hAnsi="Calibri" w:eastAsia="新細明體" w:cs="Arial" w:asciiTheme="minorHAnsi" w:hAnsiTheme="minorHAnsi" w:eastAsiaTheme="minorEastAsia" w:cstheme="minorBidi"/>
          <w:b w:val="0"/>
          <w:bCs w:val="0"/>
        </w:rPr>
      </w:r>
      <w:r>
        <w:rPr>
          <w:rFonts w:ascii="Calibri" w:hAnsi="Calibri" w:eastAsia="新細明體" w:cs="Arial" w:asciiTheme="minorHAnsi" w:hAnsiTheme="minorHAnsi" w:eastAsiaTheme="minorEastAsia" w:cstheme="minorBidi"/>
          <w:b w:val="0"/>
          <w:bCs w:val="0"/>
        </w:rPr>
      </w:r>
    </w:p>
    <w:p>
      <w:pPr>
        <w:pStyle w:val="922"/>
        <w:numPr>
          <w:ilvl w:val="0"/>
          <w:numId w:val="0"/>
        </w:numPr>
        <w:pBdr/>
        <w:spacing/>
        <w:ind w:right="-142" w:firstLine="0" w:left="0"/>
        <w:rPr/>
      </w:pPr>
      <w:r/>
      <w:r/>
    </w:p>
    <w:p>
      <w:pPr>
        <w:pStyle w:val="920"/>
        <w:keepNext w:val="true"/>
        <w:keepLines w:val="true"/>
        <w:pBdr/>
        <w:spacing/>
        <w:ind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 w:clear="all"/>
      </w:r>
      <w:r>
        <w:rPr>
          <w:rFonts w:eastAsia="Calibri"/>
          <w:b/>
          <w:i/>
          <w:sz w:val="24"/>
          <w:szCs w:val="24"/>
        </w:rPr>
      </w:r>
      <w:r>
        <w:rPr>
          <w:rFonts w:eastAsia="Calibri"/>
          <w:b/>
          <w:i/>
          <w:sz w:val="24"/>
          <w:szCs w:val="24"/>
        </w:rPr>
      </w:r>
    </w:p>
    <w:p>
      <w:pPr>
        <w:pStyle w:val="921"/>
        <w:numPr>
          <w:ilvl w:val="0"/>
          <w:numId w:val="3"/>
        </w:numPr>
        <w:pBdr/>
        <w:spacing/>
        <w:ind w:firstLine="294" w:left="426"/>
        <w:rPr>
          <w:caps/>
        </w:rPr>
      </w:pPr>
      <w:r/>
      <w:bookmarkStart w:id="0" w:name="_Toc54643694"/>
      <w:r>
        <w:t xml:space="preserve">Общие сведения</w:t>
      </w:r>
      <w:bookmarkEnd w:id="0"/>
      <w:r>
        <w:rPr>
          <w:caps/>
        </w:rPr>
      </w:r>
      <w:r>
        <w:rPr>
          <w:caps/>
        </w:rPr>
      </w:r>
    </w:p>
    <w:p>
      <w:pPr>
        <w:pStyle w:val="924"/>
        <w:numPr>
          <w:ilvl w:val="1"/>
          <w:numId w:val="3"/>
        </w:numPr>
        <w:pBdr/>
        <w:spacing/>
        <w:ind w:firstLine="294" w:left="426"/>
        <w:rPr/>
      </w:pPr>
      <w:r/>
      <w:bookmarkStart w:id="1" w:name="_Toc46743505"/>
      <w:r/>
      <w:bookmarkStart w:id="2" w:name="_Toc54643695"/>
      <w:r>
        <w:t xml:space="preserve">Обозначения и сокращения</w:t>
      </w:r>
      <w:bookmarkEnd w:id="1"/>
      <w:r/>
      <w:bookmarkEnd w:id="2"/>
      <w:r/>
      <w:r/>
    </w:p>
    <w:tbl>
      <w:tblPr>
        <w:tblW w:w="9783" w:type="dxa"/>
        <w:jc w:val="center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85"/>
        <w:gridCol w:w="7997"/>
      </w:tblGrid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/>
            </w:pPr>
            <w:r>
              <w:rPr>
                <w:i/>
                <w:iCs/>
                <w:sz w:val="24"/>
                <w:szCs w:val="24"/>
              </w:rPr>
              <w:t xml:space="preserve">ДВС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7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>
                <w:rStyle w:val="962"/>
                <w:b w:val="0"/>
                <w:bCs/>
                <w:i w:val="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Двигатель внутреннего сгорания</w:t>
            </w:r>
            <w:r>
              <w:rPr>
                <w:rStyle w:val="962"/>
                <w:b w:val="0"/>
                <w:bCs/>
                <w:i w:val="0"/>
                <w:sz w:val="24"/>
                <w:szCs w:val="24"/>
              </w:rPr>
            </w:r>
            <w:r>
              <w:rPr>
                <w:rStyle w:val="962"/>
                <w:b w:val="0"/>
                <w:bCs/>
                <w:i w:val="0"/>
                <w:sz w:val="24"/>
                <w:szCs w:val="24"/>
              </w:rPr>
            </w:r>
          </w:p>
        </w:tc>
      </w:tr>
      <w:tr>
        <w:trPr>
          <w:cantSplit/>
          <w:trHeight w:val="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/>
            </w:pPr>
            <w:r>
              <w:rPr>
                <w:i/>
                <w:iCs/>
                <w:sz w:val="24"/>
                <w:szCs w:val="24"/>
              </w:rPr>
              <w:t xml:space="preserve">ГРМ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7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>
                <w:rStyle w:val="962"/>
                <w:b w:val="0"/>
                <w:bCs/>
                <w:i w:val="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Газораспределительный механизм</w:t>
            </w:r>
            <w:r>
              <w:rPr>
                <w:rStyle w:val="962"/>
                <w:b w:val="0"/>
                <w:bCs/>
                <w:i w:val="0"/>
                <w:sz w:val="24"/>
                <w:szCs w:val="24"/>
              </w:rPr>
            </w:r>
            <w:r>
              <w:rPr>
                <w:rStyle w:val="962"/>
                <w:b w:val="0"/>
                <w:bCs/>
                <w:i w:val="0"/>
                <w:sz w:val="24"/>
                <w:szCs w:val="24"/>
              </w:rPr>
            </w:r>
          </w:p>
        </w:tc>
      </w:tr>
      <w:tr>
        <w:trPr>
          <w:cantSplit/>
          <w:trHeight w:val="4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/>
            </w:pPr>
            <w:r>
              <w:rPr>
                <w:i/>
                <w:iCs/>
                <w:sz w:val="24"/>
                <w:szCs w:val="24"/>
              </w:rPr>
              <w:t xml:space="preserve">АКПП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7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Автоматическая коробка переключения передач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rPr>
          <w:cantSplit/>
          <w:trHeight w:val="4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РД</w:t>
            </w: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7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Рабочая документация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rPr>
          <w:cantSplit/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ШРУС</w:t>
            </w: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7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Шарнир равных угловых скоростей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rPr>
          <w:cantSplit/>
          <w:trHeight w:val="4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Г.</w:t>
            </w: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7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Город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4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ТТ</w:t>
            </w: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7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Технические требования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</w:tbl>
    <w:p>
      <w:pPr>
        <w:pStyle w:val="920"/>
        <w:keepNext w:val="true"/>
        <w:keepLines w:val="true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4"/>
        <w:numPr>
          <w:ilvl w:val="1"/>
          <w:numId w:val="3"/>
        </w:numPr>
        <w:pBdr/>
        <w:spacing/>
        <w:ind w:firstLine="294" w:left="426"/>
        <w:rPr/>
      </w:pPr>
      <w:r/>
      <w:bookmarkStart w:id="3" w:name="_Toc46743506"/>
      <w:r/>
      <w:bookmarkStart w:id="4" w:name="_Toc54643696"/>
      <w:r>
        <w:t xml:space="preserve">Наименование </w:t>
      </w:r>
      <w:bookmarkEnd w:id="3"/>
      <w:r/>
      <w:bookmarkEnd w:id="4"/>
      <w:r>
        <w:t xml:space="preserve">работ по оказанию услуг</w:t>
      </w:r>
      <w:r/>
    </w:p>
    <w:p>
      <w:pPr>
        <w:pStyle w:val="920"/>
        <w:pBdr/>
        <w:spacing w:after="119" w:before="119"/>
        <w:ind/>
        <w:rPr>
          <w:sz w:val="24"/>
          <w:szCs w:val="24"/>
        </w:rPr>
      </w:pPr>
      <w:r/>
      <w:bookmarkStart w:id="5" w:name="_Toc54643697"/>
      <w:r>
        <w:rPr>
          <w:sz w:val="24"/>
          <w:szCs w:val="24"/>
        </w:rPr>
        <w:t xml:space="preserve">«Ремонт и техническое обслуживание зарубежного автотранспорта».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4"/>
        <w:numPr>
          <w:ilvl w:val="1"/>
          <w:numId w:val="3"/>
        </w:numPr>
        <w:pBdr/>
        <w:spacing/>
        <w:ind w:firstLine="294" w:left="426"/>
        <w:rPr/>
      </w:pPr>
      <w:r/>
      <w:bookmarkStart w:id="6" w:name="_Toc46743507"/>
      <w:r>
        <w:t xml:space="preserve">Цель </w:t>
      </w:r>
      <w:bookmarkEnd w:id="6"/>
      <w:r>
        <w:t xml:space="preserve">оказания услуг </w:t>
      </w:r>
      <w:bookmarkEnd w:id="5"/>
      <w:r/>
      <w:r/>
    </w:p>
    <w:p>
      <w:pPr>
        <w:pStyle w:val="920"/>
        <w:pBdr/>
        <w:spacing/>
        <w:ind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Обеспечение соответствия авт</w:t>
      </w:r>
      <w:r>
        <w:rPr>
          <w:sz w:val="24"/>
          <w:szCs w:val="24"/>
        </w:rPr>
        <w:t xml:space="preserve">отранспорта установленным требованиям и повышение эффективности их использования. Восстановление работоспособности автотранспорта и агрегатов.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20"/>
        <w:pBdr/>
        <w:spacing/>
        <w:ind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20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4"/>
        <w:numPr>
          <w:ilvl w:val="1"/>
          <w:numId w:val="3"/>
        </w:numPr>
        <w:pBdr/>
        <w:spacing/>
        <w:ind/>
        <w:rPr>
          <w:b/>
          <w:bCs/>
        </w:rPr>
      </w:pPr>
      <w:r/>
      <w:bookmarkStart w:id="7" w:name="_Toc46743508"/>
      <w:r/>
      <w:bookmarkStart w:id="8" w:name="_Toc54643698"/>
      <w:r>
        <w:rPr>
          <w:b/>
          <w:bCs/>
        </w:rPr>
        <w:t xml:space="preserve">Существующ</w:t>
      </w:r>
      <w:r>
        <w:rPr>
          <w:b/>
          <w:bCs/>
          <w:lang w:val="ru-RU"/>
        </w:rPr>
        <w:t xml:space="preserve">ие</w:t>
      </w:r>
      <w:r>
        <w:rPr>
          <w:b/>
          <w:bCs/>
        </w:rPr>
        <w:t xml:space="preserve"> положен</w:t>
      </w:r>
      <w:bookmarkEnd w:id="7"/>
      <w:r/>
      <w:bookmarkEnd w:id="8"/>
      <w:r>
        <w:rPr>
          <w:b/>
          <w:bCs/>
          <w:lang w:val="ru-RU"/>
        </w:rPr>
        <w:t xml:space="preserve">ия:</w:t>
      </w:r>
      <w:r>
        <w:rPr>
          <w:b/>
          <w:bCs/>
        </w:rPr>
      </w:r>
      <w:r>
        <w:rPr>
          <w:b/>
          <w:bCs/>
        </w:rPr>
      </w:r>
    </w:p>
    <w:p>
      <w:pPr>
        <w:pStyle w:val="923"/>
        <w:numPr>
          <w:ilvl w:val="2"/>
          <w:numId w:val="3"/>
        </w:numPr>
        <w:pBdr/>
        <w:spacing/>
        <w:ind w:firstLine="294" w:left="426"/>
        <w:jc w:val="both"/>
        <w:rPr>
          <w:b w:val="0"/>
          <w:color w:val="000000"/>
          <w:lang w:val="ru-RU"/>
        </w:rPr>
      </w:pPr>
      <w:r>
        <w:rPr>
          <w:b w:val="0"/>
          <w:color w:val="000000"/>
          <w:lang w:val="ru-RU"/>
        </w:rPr>
        <w:t xml:space="preserve">РД 37.009.026-92 Положение о техническом обслуживании и ремонте автотранспортных средств, принадлежащих гражданам (легковые и грузовые автомобили, автобусы, мини - трактора)</w:t>
      </w:r>
      <w:r>
        <w:rPr>
          <w:b w:val="0"/>
          <w:color w:val="000000"/>
          <w:lang w:val="ru-RU"/>
        </w:rPr>
      </w:r>
      <w:r>
        <w:rPr>
          <w:b w:val="0"/>
          <w:color w:val="000000"/>
          <w:lang w:val="ru-RU"/>
        </w:rPr>
      </w:r>
    </w:p>
    <w:p>
      <w:pPr>
        <w:pStyle w:val="923"/>
        <w:numPr>
          <w:ilvl w:val="2"/>
          <w:numId w:val="3"/>
        </w:numPr>
        <w:pBdr/>
        <w:spacing/>
        <w:ind w:firstLine="294" w:left="426"/>
        <w:jc w:val="both"/>
        <w:rPr>
          <w:b w:val="0"/>
          <w:color w:val="000000"/>
          <w:lang w:val="ru-RU"/>
        </w:rPr>
      </w:pPr>
      <w:r>
        <w:rPr>
          <w:b w:val="0"/>
          <w:color w:val="000000"/>
          <w:lang w:val="ru-RU"/>
        </w:rPr>
        <w:t xml:space="preserve">Постановление Правительства РФ от 11 апреля 2001 г. № 290 «об утверждении Правил оказания услуг (выполнения работ) по техническому обслуживанию и ремонту автомототранспортных средств».</w:t>
      </w:r>
      <w:r>
        <w:rPr>
          <w:b w:val="0"/>
          <w:color w:val="000000"/>
          <w:lang w:val="ru-RU"/>
        </w:rPr>
      </w:r>
      <w:r>
        <w:rPr>
          <w:b w:val="0"/>
          <w:color w:val="000000"/>
          <w:lang w:val="ru-RU"/>
        </w:rPr>
      </w:r>
    </w:p>
    <w:p>
      <w:pPr>
        <w:pStyle w:val="923"/>
        <w:numPr>
          <w:ilvl w:val="2"/>
          <w:numId w:val="3"/>
        </w:numPr>
        <w:pBdr/>
        <w:spacing/>
        <w:ind w:firstLine="294" w:left="426"/>
        <w:jc w:val="both"/>
        <w:rPr>
          <w:b w:val="0"/>
          <w:color w:val="000000"/>
          <w:lang w:val="ru-RU"/>
        </w:rPr>
      </w:pPr>
      <w:r>
        <w:rPr>
          <w:b w:val="0"/>
          <w:lang w:val="ru-RU"/>
        </w:rPr>
        <w:t xml:space="preserve">РД </w:t>
      </w:r>
      <w:r>
        <w:rPr>
          <w:b w:val="0"/>
          <w:color w:val="000000"/>
        </w:rPr>
        <w:t xml:space="preserve">03-606-03 Инструкция по визуальному и инструментальному контролю</w:t>
      </w:r>
      <w:r>
        <w:rPr>
          <w:b w:val="0"/>
          <w:color w:val="000000"/>
          <w:lang w:val="ru-RU"/>
        </w:rPr>
        <w:t xml:space="preserve">.</w:t>
      </w:r>
      <w:r>
        <w:rPr>
          <w:b w:val="0"/>
          <w:color w:val="000000"/>
          <w:lang w:val="ru-RU"/>
        </w:rPr>
      </w:r>
      <w:r>
        <w:rPr>
          <w:b w:val="0"/>
          <w:color w:val="000000"/>
          <w:lang w:val="ru-RU"/>
        </w:rPr>
      </w:r>
    </w:p>
    <w:p>
      <w:pPr>
        <w:pStyle w:val="923"/>
        <w:numPr>
          <w:ilvl w:val="2"/>
          <w:numId w:val="3"/>
        </w:numPr>
        <w:pBdr/>
        <w:spacing/>
        <w:ind w:firstLine="294" w:left="426"/>
        <w:jc w:val="both"/>
        <w:rPr>
          <w:b w:val="0"/>
          <w:color w:val="000000"/>
          <w:lang w:val="ru-RU"/>
        </w:rPr>
      </w:pPr>
      <w:r>
        <w:rPr>
          <w:b w:val="0"/>
          <w:lang w:val="ru-RU"/>
        </w:rPr>
        <w:t xml:space="preserve">ПУЭ </w:t>
      </w:r>
      <w:r>
        <w:rPr>
          <w:b w:val="0"/>
          <w:color w:val="000000"/>
        </w:rPr>
        <w:t xml:space="preserve">Правила устройства электроустановок</w:t>
      </w:r>
      <w:r>
        <w:rPr>
          <w:b w:val="0"/>
          <w:color w:val="000000"/>
          <w:lang w:val="ru-RU"/>
        </w:rPr>
        <w:t xml:space="preserve">.</w:t>
      </w:r>
      <w:r>
        <w:rPr>
          <w:b w:val="0"/>
          <w:color w:val="000000"/>
          <w:lang w:val="ru-RU"/>
        </w:rPr>
      </w:r>
      <w:r>
        <w:rPr>
          <w:b w:val="0"/>
          <w:color w:val="000000"/>
          <w:lang w:val="ru-RU"/>
        </w:rPr>
      </w:r>
    </w:p>
    <w:p>
      <w:pPr>
        <w:pStyle w:val="923"/>
        <w:numPr>
          <w:ilvl w:val="2"/>
          <w:numId w:val="3"/>
        </w:numPr>
        <w:pBdr/>
        <w:spacing/>
        <w:ind w:firstLine="294" w:left="426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Приказ </w:t>
      </w:r>
      <w:r>
        <w:rPr>
          <w:b w:val="0"/>
        </w:rPr>
        <w:t xml:space="preserve">Минтруда России от 24.07.2013 N 328н "Об утверждении Правил по охране труда при эксплуатации электроустановок"</w:t>
      </w:r>
      <w:r>
        <w:rPr>
          <w:b w:val="0"/>
          <w:lang w:val="ru-RU"/>
        </w:rPr>
        <w:t xml:space="preserve">.</w:t>
      </w:r>
      <w:r>
        <w:rPr>
          <w:b w:val="0"/>
          <w:lang w:val="ru-RU"/>
        </w:rPr>
      </w:r>
      <w:r>
        <w:rPr>
          <w:b w:val="0"/>
          <w:lang w:val="ru-RU"/>
        </w:rPr>
      </w:r>
    </w:p>
    <w:p>
      <w:pPr>
        <w:pStyle w:val="923"/>
        <w:numPr>
          <w:ilvl w:val="2"/>
          <w:numId w:val="3"/>
        </w:numPr>
        <w:pBdr/>
        <w:spacing/>
        <w:ind w:firstLine="294" w:left="426"/>
        <w:jc w:val="both"/>
        <w:rPr>
          <w:b w:val="0"/>
          <w:color w:val="000000"/>
          <w:lang w:val="ru-RU"/>
        </w:rPr>
      </w:pPr>
      <w:r>
        <w:rPr>
          <w:b w:val="0"/>
          <w:lang w:val="ru-RU"/>
        </w:rPr>
        <w:t xml:space="preserve">РД </w:t>
      </w:r>
      <w:r>
        <w:rPr>
          <w:b w:val="0"/>
          <w:color w:val="000000"/>
        </w:rPr>
        <w:t xml:space="preserve">153-34.0-03.301-00 Правила пожарной безопасности для энергетических предприятий.</w:t>
      </w:r>
      <w:r>
        <w:rPr>
          <w:b w:val="0"/>
          <w:color w:val="000000"/>
          <w:lang w:val="ru-RU"/>
        </w:rPr>
      </w:r>
      <w:r>
        <w:rPr>
          <w:b w:val="0"/>
          <w:color w:val="000000"/>
          <w:lang w:val="ru-RU"/>
        </w:rPr>
      </w:r>
    </w:p>
    <w:p>
      <w:pPr>
        <w:pStyle w:val="923"/>
        <w:widowControl w:val="true"/>
        <w:numPr>
          <w:ilvl w:val="0"/>
          <w:numId w:val="0"/>
        </w:numPr>
        <w:pBdr/>
        <w:bidi w:val="false"/>
        <w:spacing w:after="0" w:before="0"/>
        <w:ind w:firstLine="0" w:left="5038"/>
        <w:jc w:val="both"/>
        <w:rPr>
          <w:b w:val="0"/>
        </w:rPr>
      </w:pPr>
      <w:r>
        <w:rPr>
          <w:b w:val="0"/>
          <w:bCs w:val="0"/>
          <w:i w:val="0"/>
          <w:iCs w:val="0"/>
          <w:color w:val="000000"/>
          <w:sz w:val="24"/>
          <w:szCs w:val="24"/>
        </w:rPr>
      </w:r>
      <w:r>
        <w:rPr>
          <w:b w:val="0"/>
        </w:rPr>
      </w:r>
      <w:r>
        <w:rPr>
          <w:b w:val="0"/>
        </w:rPr>
      </w:r>
    </w:p>
    <w:p>
      <w:pPr>
        <w:pStyle w:val="920"/>
        <w:widowControl w:val="true"/>
        <w:pBdr/>
        <w:bidi w:val="false"/>
        <w:spacing w:after="0" w:before="0"/>
        <w:ind w:right="0" w:firstLine="680" w:left="0"/>
        <w:jc w:val="both"/>
        <w:rPr>
          <w:b w:val="0"/>
          <w:bCs w:val="0"/>
          <w:i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i w:val="0"/>
          <w:sz w:val="24"/>
          <w:szCs w:val="24"/>
        </w:rPr>
      </w:r>
      <w:r>
        <w:rPr>
          <w:b w:val="0"/>
          <w:bCs w:val="0"/>
          <w:i w:val="0"/>
          <w:sz w:val="24"/>
          <w:szCs w:val="24"/>
        </w:rPr>
      </w:r>
    </w:p>
    <w:p>
      <w:pPr>
        <w:pStyle w:val="920"/>
        <w:widowControl w:val="true"/>
        <w:pBdr/>
        <w:bidi w:val="false"/>
        <w:spacing w:after="0" w:before="0"/>
        <w:ind w:right="0" w:firstLine="680"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0"/>
        <w:widowControl w:val="true"/>
        <w:pBdr/>
        <w:bidi w:val="false"/>
        <w:spacing w:after="0" w:before="0"/>
        <w:ind w:right="0" w:firstLine="680" w:left="0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920"/>
        <w:widowControl w:val="true"/>
        <w:pBdr/>
        <w:bidi w:val="false"/>
        <w:spacing w:after="0" w:before="0"/>
        <w:ind w:right="0" w:firstLine="680" w:left="0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920"/>
        <w:widowControl w:val="true"/>
        <w:pBdr/>
        <w:bidi w:val="false"/>
        <w:spacing w:after="0" w:before="0"/>
        <w:ind w:right="0" w:firstLine="680" w:left="0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920"/>
        <w:widowControl w:val="true"/>
        <w:pBdr/>
        <w:bidi w:val="false"/>
        <w:spacing w:after="0" w:before="0"/>
        <w:ind w:right="0" w:firstLine="680" w:left="0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920"/>
        <w:widowControl w:val="true"/>
        <w:pBdr/>
        <w:bidi w:val="false"/>
        <w:spacing w:after="0" w:before="0"/>
        <w:ind w:right="0" w:firstLine="680" w:left="0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920"/>
        <w:widowControl w:val="true"/>
        <w:pBdr/>
        <w:bidi w:val="false"/>
        <w:spacing w:after="0" w:before="0"/>
        <w:ind w:right="0" w:firstLine="680" w:left="0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920"/>
        <w:widowControl w:val="true"/>
        <w:pBdr/>
        <w:bidi w:val="false"/>
        <w:spacing w:after="0" w:before="0"/>
        <w:ind w:right="0" w:firstLine="680" w:left="0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920"/>
        <w:widowControl w:val="true"/>
        <w:pBdr/>
        <w:bidi w:val="false"/>
        <w:spacing w:after="0" w:before="0"/>
        <w:ind w:right="0" w:firstLine="680" w:left="0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920"/>
        <w:widowControl w:val="true"/>
        <w:pBdr/>
        <w:bidi w:val="false"/>
        <w:spacing w:after="0" w:before="0"/>
        <w:ind w:right="0" w:firstLine="680" w:left="0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920"/>
        <w:widowControl w:val="true"/>
        <w:pBdr/>
        <w:bidi w:val="false"/>
        <w:spacing w:after="0" w:before="0"/>
        <w:ind w:right="0" w:firstLine="680" w:left="0"/>
        <w:jc w:val="both"/>
        <w:rPr>
          <w:b/>
          <w:bCs/>
          <w:sz w:val="24"/>
          <w:szCs w:val="24"/>
          <w:highlight w:val="none"/>
        </w:rPr>
      </w:pPr>
      <w:r>
        <w:rPr>
          <w:b w:val="0"/>
          <w:bCs w:val="0"/>
          <w:i w:val="0"/>
          <w:iCs w:val="0"/>
          <w:sz w:val="24"/>
          <w:szCs w:val="24"/>
        </w:rPr>
      </w:r>
      <w:bookmarkStart w:id="9" w:name="_Toc54643699"/>
      <w:r>
        <w:rPr>
          <w:sz w:val="24"/>
          <w:szCs w:val="24"/>
        </w:rPr>
        <w:t xml:space="preserve">Таблица 1. Перечень необходимых основных услуг для проведения работ по техническому обслуживанию и  ремонту автомобилей.</w:t>
      </w:r>
      <w:bookmarkEnd w:id="9"/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tbl>
      <w:tblPr>
        <w:tblW w:w="9918" w:type="dxa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528"/>
        <w:gridCol w:w="4258"/>
        <w:gridCol w:w="1843"/>
        <w:gridCol w:w="155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 xml:space="preserve">(место оказания услуг)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0"/>
                <w:numId w:val="7"/>
              </w:num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Диагностика ходовой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2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0"/>
                <w:numId w:val="7"/>
              </w:num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Диагностика ДВС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амортизатора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стойки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воздушного фильтра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генератора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ГРМ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крестовины кардана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масла АКПП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масла ДВС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масла редуктора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масла РКП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охлаждающей жидкости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пыльника привода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пыльника рулевой рейки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радиатора охлаждения основного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ремня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рулевого наконечника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рулевой рейки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рулевой тяги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свечей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стартера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ступичного подшипника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топливного фильтра грубой очистки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топливного фильтра тонкой очистки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тормозного шланга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тормозных колодок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шаровой опоры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 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ШРУС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 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Прокачка тормозной системы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 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Проточка тормозного диска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 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Развал схождение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 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Шприцовка 1 точка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 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ДВС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Ремонт ДВС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 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Капитальный ремонт ДВС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 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тормозного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 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топливного фильтра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 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Ремонт АКПП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 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рычага передней подвески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 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рычага задней подвески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 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Ремонт карданного вала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 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стойки стабилизатора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 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Ремонт стабилизатора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 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</w:tbl>
    <w:p>
      <w:pPr>
        <w:pStyle w:val="924"/>
        <w:numPr>
          <w:ilvl w:val="1"/>
          <w:numId w:val="3"/>
        </w:numPr>
        <w:pBdr/>
        <w:spacing/>
        <w:ind w:firstLine="294" w:left="426"/>
        <w:rPr>
          <w:b/>
          <w:bCs/>
        </w:rPr>
      </w:pPr>
      <w:r/>
      <w:bookmarkStart w:id="10" w:name="_Toc46743509"/>
      <w:r/>
      <w:bookmarkStart w:id="11" w:name="_Hlk49857604"/>
      <w:r>
        <w:rPr>
          <w:b/>
          <w:bCs/>
        </w:rPr>
        <w:t xml:space="preserve">Информация в отношении исполнения договора, </w:t>
      </w:r>
      <w:bookmarkStart w:id="12" w:name="_Hlk46492347"/>
      <w:r>
        <w:rPr>
          <w:b/>
          <w:bCs/>
        </w:rPr>
        <w:t xml:space="preserve">которая должна быть учтена при подготовке заявки </w:t>
      </w:r>
      <w:bookmarkEnd w:id="12"/>
      <w:r>
        <w:rPr>
          <w:b/>
          <w:bCs/>
        </w:rPr>
        <w:t xml:space="preserve">(в том числе перечень ресурсов, услуг и документов, предоставляемых заказчиком на этапе исполнения договора)</w:t>
      </w:r>
      <w:bookmarkEnd w:id="10"/>
      <w:r/>
      <w:bookmarkEnd w:id="11"/>
      <w:r>
        <w:rPr>
          <w:b/>
          <w:bCs/>
        </w:rPr>
      </w:r>
      <w:r>
        <w:rPr>
          <w:b/>
          <w:bCs/>
        </w:rPr>
      </w:r>
    </w:p>
    <w:p>
      <w:pPr>
        <w:pStyle w:val="923"/>
        <w:numPr>
          <w:ilvl w:val="2"/>
          <w:numId w:val="3"/>
        </w:numPr>
        <w:pBdr/>
        <w:spacing/>
        <w:ind w:firstLine="294" w:left="426"/>
        <w:rPr>
          <w:bCs/>
          <w:i/>
          <w:shd w:val="clear" w:color="auto" w:fill="ffff99"/>
        </w:rPr>
      </w:pPr>
      <w:r>
        <w:t xml:space="preserve">Выполнение комплекса работ по техническому обслуживанию и ремонту автотранспорта выполняется на территории организации в Республике Саха (Якутия), г.Якутск</w:t>
      </w:r>
      <w:r>
        <w:rPr>
          <w:color w:val="000000"/>
        </w:rPr>
        <w:t xml:space="preserve">.</w:t>
      </w:r>
      <w:r>
        <w:rPr>
          <w:bCs/>
          <w:i/>
          <w:shd w:val="clear" w:color="auto" w:fill="ffff99"/>
        </w:rPr>
      </w:r>
      <w:r>
        <w:rPr>
          <w:bCs/>
          <w:i/>
          <w:shd w:val="clear" w:color="auto" w:fill="ffff99"/>
        </w:rPr>
      </w:r>
    </w:p>
    <w:p>
      <w:pPr>
        <w:pStyle w:val="923"/>
        <w:numPr>
          <w:ilvl w:val="2"/>
          <w:numId w:val="3"/>
        </w:numPr>
        <w:pBdr/>
        <w:spacing/>
        <w:ind w:firstLine="294" w:left="426"/>
        <w:rPr>
          <w:bCs/>
          <w:i/>
          <w:shd w:val="clear" w:color="auto" w:fill="ffff99"/>
        </w:rPr>
      </w:pPr>
      <w:r>
        <w:t xml:space="preserve">Требования к применяемым материалам, оборудованию - перед оказанием услуг обязательное проведение входного контроля, совместно с представителями Заказчика, качества применяемых материалов и запасных частей.</w:t>
      </w:r>
      <w:r>
        <w:rPr>
          <w:bCs/>
          <w:i/>
          <w:shd w:val="clear" w:color="auto" w:fill="ffff99"/>
        </w:rPr>
      </w:r>
      <w:r>
        <w:rPr>
          <w:bCs/>
          <w:i/>
          <w:shd w:val="clear" w:color="auto" w:fill="ffff99"/>
        </w:rPr>
      </w:r>
    </w:p>
    <w:p>
      <w:pPr>
        <w:pStyle w:val="923"/>
        <w:numPr>
          <w:ilvl w:val="2"/>
          <w:numId w:val="3"/>
        </w:numPr>
        <w:pBdr/>
        <w:spacing/>
        <w:ind w:firstLine="294" w:left="426"/>
        <w:rPr>
          <w:bCs/>
          <w:i/>
          <w:shd w:val="clear" w:color="auto" w:fill="ffff99"/>
        </w:rPr>
      </w:pPr>
      <w:r>
        <w:t xml:space="preserve">Исполнитель обязан предоставить локальную смету на автотранспорт, запасные части, агрегаты и выполняемые работы по техническому обслуживанию и ремонту автотранспорта.</w:t>
      </w:r>
      <w:r>
        <w:rPr>
          <w:bCs/>
          <w:i/>
          <w:shd w:val="clear" w:color="auto" w:fill="ffff99"/>
        </w:rPr>
      </w:r>
      <w:r>
        <w:rPr>
          <w:bCs/>
          <w:i/>
          <w:shd w:val="clear" w:color="auto" w:fill="ffff99"/>
        </w:rPr>
      </w:r>
    </w:p>
    <w:p>
      <w:pPr>
        <w:pStyle w:val="923"/>
        <w:numPr>
          <w:ilvl w:val="2"/>
          <w:numId w:val="3"/>
        </w:numPr>
        <w:pBdr/>
        <w:spacing/>
        <w:ind w:firstLine="294" w:left="426"/>
        <w:rPr>
          <w:bCs/>
          <w:i/>
          <w:shd w:val="clear" w:color="auto" w:fill="ffff99"/>
        </w:rPr>
      </w:pPr>
      <w:r>
        <w:t xml:space="preserve">Исполнитель обеспечивает исполнение графика производства работ и выполнение полного комплекса обкаточных работ.</w:t>
      </w:r>
      <w:r>
        <w:rPr>
          <w:bCs/>
          <w:i/>
          <w:shd w:val="clear" w:color="auto" w:fill="ffff99"/>
        </w:rPr>
      </w:r>
      <w:r>
        <w:rPr>
          <w:bCs/>
          <w:i/>
          <w:shd w:val="clear" w:color="auto" w:fill="ffff99"/>
        </w:rPr>
      </w:r>
    </w:p>
    <w:p>
      <w:pPr>
        <w:pStyle w:val="923"/>
        <w:numPr>
          <w:ilvl w:val="2"/>
          <w:numId w:val="3"/>
        </w:numPr>
        <w:pBdr/>
        <w:spacing/>
        <w:ind w:firstLine="294" w:left="426"/>
        <w:rPr>
          <w:bCs/>
          <w:i/>
          <w:shd w:val="clear" w:color="auto" w:fill="ffff99"/>
        </w:rPr>
      </w:pPr>
      <w:r>
        <w:t xml:space="preserve">Исполнитель обязан письменно предупредить и в случае необходимости согласовать с Заказчиком изменение срока окончания услуг, в том числе и в случае нарушения Заказчиком сроков поставки материалов, запасных частей.</w:t>
      </w:r>
      <w:r>
        <w:rPr>
          <w:bCs/>
          <w:i/>
          <w:shd w:val="clear" w:color="auto" w:fill="ffff99"/>
        </w:rPr>
      </w:r>
      <w:r>
        <w:rPr>
          <w:bCs/>
          <w:i/>
          <w:shd w:val="clear" w:color="auto" w:fill="ffff99"/>
        </w:rPr>
      </w:r>
    </w:p>
    <w:p>
      <w:pPr>
        <w:pStyle w:val="923"/>
        <w:numPr>
          <w:ilvl w:val="2"/>
          <w:numId w:val="3"/>
        </w:numPr>
        <w:pBdr/>
        <w:spacing/>
        <w:ind w:firstLine="294" w:left="426"/>
        <w:rPr>
          <w:bCs/>
          <w:i/>
          <w:shd w:val="clear" w:color="auto" w:fill="ffff99"/>
        </w:rPr>
      </w:pPr>
      <w:r>
        <w:t xml:space="preserve">Заказчик имеет право следить за процессом технического обслуживания и ремонта в любое рабочее время на любом этапе ремонта</w:t>
      </w:r>
      <w:r>
        <w:rPr>
          <w:color w:val="000000"/>
        </w:rPr>
        <w:t xml:space="preserve">.</w:t>
      </w:r>
      <w:r>
        <w:rPr>
          <w:bCs/>
          <w:i/>
          <w:shd w:val="clear" w:color="auto" w:fill="ffff99"/>
        </w:rPr>
      </w:r>
      <w:r>
        <w:rPr>
          <w:bCs/>
          <w:i/>
          <w:shd w:val="clear" w:color="auto" w:fill="ffff99"/>
        </w:rPr>
      </w:r>
    </w:p>
    <w:p>
      <w:pPr>
        <w:pStyle w:val="923"/>
        <w:numPr>
          <w:ilvl w:val="2"/>
          <w:numId w:val="3"/>
        </w:numPr>
        <w:pBdr/>
        <w:spacing/>
        <w:ind w:firstLine="294" w:left="426"/>
        <w:rPr>
          <w:bCs/>
          <w:i/>
          <w:shd w:val="clear" w:color="auto" w:fill="ffff99"/>
        </w:rPr>
      </w:pPr>
      <w:r>
        <w:t xml:space="preserve">Требование</w:t>
      </w:r>
      <w:r>
        <w:t xml:space="preserve"> к за</w:t>
      </w:r>
      <w:r>
        <w:t xml:space="preserve">пасным частям и материалам используемых для выполнения работ по техническому обслуживанию и ремонта объекта: предоставляемые запасные части, узлы и агрегаты должны быть новые с завода изготовителя (товар который не был в употреблении, не прошел ремонт, в т</w:t>
      </w:r>
      <w:r>
        <w:t xml:space="preserve">ом числе восстановление, замену составных частей, восстановление потребительских свойств). Используемые расходные материалы должны быть рекомендованы к применению заводом изготовителем. Все детали, узлы и агрегаты должны быть окрашены в заводских условиях.</w:t>
      </w:r>
      <w:r>
        <w:rPr>
          <w:bCs/>
          <w:i/>
          <w:shd w:val="clear" w:color="auto" w:fill="ffff99"/>
        </w:rPr>
      </w:r>
      <w:r>
        <w:rPr>
          <w:bCs/>
          <w:i/>
          <w:shd w:val="clear" w:color="auto" w:fill="ffff99"/>
        </w:rPr>
      </w:r>
    </w:p>
    <w:p>
      <w:pPr>
        <w:pStyle w:val="923"/>
        <w:numPr>
          <w:ilvl w:val="2"/>
          <w:numId w:val="3"/>
        </w:numPr>
        <w:pBdr/>
        <w:spacing/>
        <w:ind w:firstLine="294" w:left="426"/>
        <w:rPr>
          <w:bCs/>
          <w:i/>
          <w:shd w:val="clear" w:color="auto" w:fill="ffff99"/>
        </w:rPr>
      </w:pPr>
      <w:r>
        <w:t xml:space="preserve">Требования по сдаче объекта и гарантийным обязательствам: после технического обслуживания и ремонта</w:t>
      </w:r>
      <w:r>
        <w:t xml:space="preserve"> объект подлежит к приемо-сдаточным испытаниям. Объект должен соответствовать параметрам предусмотренным заводом изготовителем после проведения технического обслуживания и ремонта. Исполнитель дает гарантию в течение не менее 6-и мес</w:t>
      </w:r>
      <w:r>
        <w:t xml:space="preserve">яцев с момента подписания акта приемо-сдачи выполненных работ. При выходе из строя узла, агрегата, запасной части Исполнитель по гарантийным обязательствам и за свой счет меняет узел, агрегат или запасную часть на протяжении всего срока гарантии.</w:t>
      </w:r>
      <w:r>
        <w:rPr>
          <w:bCs/>
          <w:i/>
          <w:shd w:val="clear" w:color="auto" w:fill="ffff99"/>
        </w:rPr>
      </w:r>
      <w:r>
        <w:rPr>
          <w:bCs/>
          <w:i/>
          <w:shd w:val="clear" w:color="auto" w:fill="ffff99"/>
        </w:rPr>
      </w:r>
    </w:p>
    <w:p>
      <w:pPr>
        <w:pStyle w:val="923"/>
        <w:numPr>
          <w:ilvl w:val="0"/>
          <w:numId w:val="0"/>
        </w:numPr>
        <w:pBdr/>
        <w:spacing/>
        <w:ind w:firstLine="0" w:left="720"/>
        <w:rPr/>
      </w:pPr>
      <w:r>
        <w:t xml:space="preserve">  </w:t>
      </w:r>
      <w:bookmarkStart w:id="13" w:name="_Toc46743510"/>
      <w:r/>
      <w:bookmarkStart w:id="14" w:name="_Toc50125126"/>
      <w:r/>
      <w:r/>
    </w:p>
    <w:p>
      <w:pPr>
        <w:pStyle w:val="920"/>
        <w:pBdr/>
        <w:spacing/>
        <w:ind/>
        <w:rPr/>
      </w:pPr>
      <w:r/>
      <w:r/>
    </w:p>
    <w:p>
      <w:pPr>
        <w:pStyle w:val="921"/>
        <w:numPr>
          <w:ilvl w:val="0"/>
          <w:numId w:val="3"/>
        </w:numPr>
        <w:pBdr/>
        <w:spacing/>
        <w:ind w:hanging="567" w:left="567"/>
        <w:jc w:val="center"/>
        <w:rPr>
          <w:caps/>
          <w:sz w:val="24"/>
          <w:szCs w:val="24"/>
        </w:rPr>
      </w:pPr>
      <w:r>
        <w:rPr>
          <w:highlight w:val="none"/>
        </w:rPr>
      </w:r>
      <w:r>
        <w:rPr>
          <w:highlight w:val="none"/>
        </w:rPr>
      </w:r>
      <w:bookmarkStart w:id="15" w:name="_Toc51339693"/>
      <w:r/>
      <w:bookmarkStart w:id="16" w:name="_Toc54643702"/>
      <w:r>
        <w:rPr>
          <w:sz w:val="24"/>
          <w:szCs w:val="24"/>
        </w:rPr>
        <w:t xml:space="preserve">Требования к работам по техническому обслуживанию и ремонту автотранспорта</w:t>
      </w:r>
      <w:bookmarkEnd w:id="15"/>
      <w:r/>
      <w:bookmarkEnd w:id="16"/>
      <w:r>
        <w:rPr>
          <w:caps/>
          <w:sz w:val="24"/>
          <w:szCs w:val="24"/>
        </w:rPr>
      </w:r>
      <w:bookmarkStart w:id="17" w:name="_Toc54643703"/>
      <w:r/>
      <w:bookmarkEnd w:id="17"/>
      <w:r>
        <w:rPr>
          <w:caps/>
          <w:sz w:val="24"/>
          <w:szCs w:val="24"/>
        </w:rPr>
      </w:r>
      <w:r>
        <w:rPr>
          <w:caps/>
          <w:sz w:val="24"/>
          <w:szCs w:val="24"/>
        </w:rPr>
      </w:r>
    </w:p>
    <w:p>
      <w:pPr>
        <w:pBdr/>
        <w:spacing/>
        <w:ind/>
        <w:rPr/>
      </w:pPr>
      <w:r/>
      <w:r/>
    </w:p>
    <w:p>
      <w:pPr>
        <w:pStyle w:val="923"/>
        <w:numPr>
          <w:ilvl w:val="1"/>
          <w:numId w:val="3"/>
        </w:numPr>
        <w:pBdr/>
        <w:tabs>
          <w:tab w:val="clear" w:leader="none" w:pos="0"/>
          <w:tab w:val="left" w:leader="none" w:pos="992"/>
        </w:tabs>
        <w:spacing/>
        <w:ind w:right="0" w:hanging="7" w:left="432"/>
        <w:rPr/>
      </w:pPr>
      <w:r/>
      <w:bookmarkStart w:id="21" w:name="_Toc54643706"/>
      <w:r/>
      <w:bookmarkStart w:id="22" w:name="_Toc51339696"/>
      <w:r>
        <w:t xml:space="preserve">Требования </w:t>
      </w:r>
      <w:bookmarkEnd w:id="22"/>
      <w:r>
        <w:t xml:space="preserve">к срокам оказания услуг</w:t>
      </w:r>
      <w:bookmarkEnd w:id="21"/>
      <w:r/>
      <w:r/>
    </w:p>
    <w:p>
      <w:pPr>
        <w:pStyle w:val="921"/>
        <w:numPr>
          <w:ilvl w:val="0"/>
          <w:numId w:val="0"/>
        </w:numPr>
        <w:pBdr/>
        <w:spacing/>
        <w:ind w:firstLine="0" w:left="0"/>
        <w:rPr/>
      </w:pPr>
      <w:r/>
      <w:bookmarkStart w:id="23" w:name="_Toc54643707"/>
      <w:r/>
      <w:bookmarkStart w:id="24" w:name="_Toc50125127"/>
      <w:r/>
      <w:bookmarkStart w:id="25" w:name="_Toc51339697"/>
      <w:r/>
      <w:bookmarkEnd w:id="14"/>
      <w:r>
        <w:t xml:space="preserve">Таблица 2. </w:t>
      </w:r>
      <w:bookmarkStart w:id="26" w:name="_Hlk50465284"/>
      <w:r>
        <w:t xml:space="preserve">Требования к срокам </w:t>
      </w:r>
      <w:bookmarkEnd w:id="24"/>
      <w:r/>
      <w:bookmarkEnd w:id="25"/>
      <w:r/>
      <w:bookmarkEnd w:id="26"/>
      <w:r>
        <w:t xml:space="preserve">оказания услуг</w:t>
      </w:r>
      <w:bookmarkEnd w:id="23"/>
      <w:r/>
      <w:r/>
    </w:p>
    <w:tbl>
      <w:tblPr>
        <w:tblW w:w="9781" w:type="dxa"/>
        <w:tblInd w:w="109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8"/>
        <w:gridCol w:w="4396"/>
        <w:gridCol w:w="2268"/>
        <w:gridCol w:w="2268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6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услуг/ этапа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началу срока оказания услуг/ этапа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срока оказания услуг / этапа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6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031"/>
              <w:keepNext w:val="false"/>
              <w:widowControl w:val="false"/>
              <w:pBdr/>
              <w:spacing w:after="40" w:before="40"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031"/>
              <w:keepNext w:val="false"/>
              <w:widowControl w:val="false"/>
              <w:pBdr/>
              <w:spacing w:after="40" w:before="40"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</w:t>
            </w:r>
            <w:bookmarkEnd w:id="1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0"/>
                <w:numId w:val="9"/>
              </w:num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6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Техническое обслуживание и ремонт автотранспорта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заключения договора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декабря 2027г.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/>
        <w:rPr/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h="16838" w:orient="portrait" w:w="11906"/>
          <w:pgMar w:top="1134" w:right="851" w:bottom="992" w:left="1134" w:header="680" w:footer="0" w:gutter="0"/>
          <w:cols w:num="1" w:sep="0" w:space="1701" w:equalWidth="1"/>
          <w:titlePg/>
        </w:sectPr>
      </w:pPr>
      <w:r/>
      <w:r/>
    </w:p>
    <w:p>
      <w:pPr>
        <w:pStyle w:val="924"/>
        <w:numPr>
          <w:ilvl w:val="1"/>
          <w:numId w:val="3"/>
        </w:numPr>
        <w:pBdr/>
        <w:spacing/>
        <w:ind w:firstLine="294" w:left="426"/>
        <w:rPr>
          <w:rFonts w:eastAsia="Calibri"/>
          <w:b/>
          <w:sz w:val="24"/>
          <w:szCs w:val="24"/>
        </w:rPr>
      </w:pPr>
      <w:r/>
      <w:bookmarkStart w:id="27" w:name="_Toc54643709"/>
      <w:r/>
      <w:bookmarkStart w:id="28" w:name="_Toc54643708"/>
      <w:r/>
      <w:bookmarkStart w:id="29" w:name="_Toc46743511"/>
      <w:r>
        <w:t xml:space="preserve">Требования к </w:t>
      </w:r>
      <w:bookmarkEnd w:id="29"/>
      <w:r>
        <w:t xml:space="preserve">качеству услуг</w:t>
      </w:r>
      <w:bookmarkEnd w:id="28"/>
      <w:r>
        <w:rPr>
          <w:rFonts w:eastAsia="Calibri"/>
          <w:b/>
          <w:sz w:val="24"/>
          <w:szCs w:val="24"/>
        </w:rPr>
      </w:r>
      <w:r>
        <w:rPr>
          <w:rFonts w:eastAsia="Calibri"/>
          <w:b/>
          <w:sz w:val="24"/>
          <w:szCs w:val="24"/>
        </w:rPr>
      </w:r>
    </w:p>
    <w:p>
      <w:pPr>
        <w:pStyle w:val="921"/>
        <w:numPr>
          <w:ilvl w:val="0"/>
          <w:numId w:val="0"/>
        </w:numPr>
        <w:pBdr/>
        <w:spacing/>
        <w:ind w:firstLine="0" w:left="0"/>
        <w:rPr>
          <w:sz w:val="24"/>
          <w:szCs w:val="24"/>
        </w:rPr>
      </w:pPr>
      <w:r/>
      <w:bookmarkStart w:id="30" w:name="_Toc51339698"/>
      <w:r>
        <w:rPr>
          <w:sz w:val="24"/>
          <w:szCs w:val="24"/>
        </w:rPr>
        <w:t xml:space="preserve">Таблица 3. Требования к </w:t>
      </w:r>
      <w:bookmarkEnd w:id="30"/>
      <w:r>
        <w:rPr>
          <w:sz w:val="24"/>
          <w:szCs w:val="24"/>
        </w:rPr>
        <w:t xml:space="preserve">качеству услуг</w:t>
      </w:r>
      <w:bookmarkEnd w:id="27"/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1052"/>
        <w:tblW w:w="14885" w:type="dxa"/>
        <w:tblInd w:w="-5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267"/>
        <w:gridCol w:w="3403"/>
        <w:gridCol w:w="2805"/>
        <w:gridCol w:w="2814"/>
        <w:gridCol w:w="2744"/>
      </w:tblGrid>
      <w:tr>
        <w:trPr/>
        <w:tc>
          <w:tcPr>
            <w:tcBorders/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п/п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267" w:type="dxa"/>
            <w:vAlign w:val="center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Наименование параметра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403" w:type="dxa"/>
            <w:vAlign w:val="center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Требование заказчика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5619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Способ подтверждения участником соответствия требованиям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744" w:type="dxa"/>
            <w:vAlign w:val="center"/>
            <w:vMerge w:val="restart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Предложение участника по характеристикам и параметрам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267" w:type="dxa"/>
            <w:vAlign w:val="center"/>
            <w:vMerge w:val="continue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403" w:type="dxa"/>
            <w:vAlign w:val="center"/>
            <w:vMerge w:val="continue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805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Согласие с требованием/ указание характеристик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814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Предоставление подтверждающего документа или иной способ подтверждения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744" w:type="dxa"/>
            <w:vAlign w:val="center"/>
            <w:vMerge w:val="continue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/>
            <w:bookmarkStart w:id="31" w:name="_Toc53499667"/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1</w:t>
            </w:r>
            <w:bookmarkEnd w:id="31"/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267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403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805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814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744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0"/>
                <w:numId w:val="6"/>
              </w:numPr>
              <w:pBdr/>
              <w:spacing w:after="60" w:before="60"/>
              <w:ind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Требования к оказанию услуг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1"/>
                <w:numId w:val="6"/>
              </w:numPr>
              <w:pBdr/>
              <w:spacing w:after="60" w:before="60"/>
              <w:ind w:firstLine="142" w:left="-117"/>
              <w:contextualSpacing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/>
            <w:tcW w:w="5670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60" w:before="6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Общие требования к оказанию услуг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2"/>
                <w:numId w:val="6"/>
              </w:numPr>
              <w:pBdr/>
              <w:spacing w:after="60" w:before="60"/>
              <w:ind w:hanging="1199" w:left="1224"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5670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Требования к техническим, функциональным характеристикам, объемам работ представлены в Таблицах №1 и </w:t>
            </w: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 к настоящим Техническим требованиям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805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  <w:t xml:space="preserve">Согласие с требованием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814" w:type="dxa"/>
            <w:textDirection w:val="lrTb"/>
            <w:noWrap w:val="false"/>
          </w:tcPr>
          <w:p>
            <w:pPr>
              <w:pStyle w:val="1030"/>
              <w:keepNext w:val="false"/>
              <w:widowControl w:val="false"/>
              <w:numPr>
                <w:ilvl w:val="0"/>
                <w:numId w:val="0"/>
              </w:numPr>
              <w:pBdr/>
              <w:spacing w:after="60" w:before="0"/>
              <w:ind w:firstLine="0" w:left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</w: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shd w:val="clear" w:color="auto" w:fill="auto"/>
            <w:tcBorders/>
            <w:tcW w:w="2744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1"/>
                <w:numId w:val="6"/>
              </w:numPr>
              <w:pBdr/>
              <w:spacing w:after="60" w:before="60"/>
              <w:ind w:firstLine="142" w:left="-117"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6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Требования к применяемым при оказании услуг оборудованию и материалам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2"/>
                <w:numId w:val="6"/>
              </w:numPr>
              <w:pBdr/>
              <w:spacing w:after="60" w:before="60"/>
              <w:ind w:hanging="1199" w:left="1224"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Предоставляемые запасные части, узлы и агрегаты должны быть новые с завода изготовителя (товар который не был в употреблении, не прошел ремонт, в т</w:t>
            </w: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ом числе восстановление, замену составных частей, восстановление потребительских свойств). Используемые расходные материалы должны быть рекомендованы к применению заводом изготовителем. Все детали, узлы и агрегаты должны быть окрашены в заводских условиях.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  <w:t xml:space="preserve">Согласие с требованием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0"/>
                <w:numId w:val="6"/>
              </w:numPr>
              <w:pBdr/>
              <w:spacing w:after="60" w:before="60"/>
              <w:ind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Требования к результатам у</w:t>
            </w: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слуг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1"/>
                <w:numId w:val="6"/>
              </w:numPr>
              <w:pBdr/>
              <w:spacing w:after="60" w:before="60"/>
              <w:ind w:firstLine="142" w:left="-117"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Общие требования к результатам услуг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2"/>
                <w:numId w:val="6"/>
              </w:numPr>
              <w:pBdr/>
              <w:spacing w:after="60" w:before="60"/>
              <w:ind w:hanging="1199" w:left="1224"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textDirection w:val="lrTb"/>
            <w:noWrap w:val="false"/>
          </w:tcPr>
          <w:p>
            <w:pPr>
              <w:pStyle w:val="923"/>
              <w:widowControl w:val="false"/>
              <w:numPr>
                <w:ilvl w:val="0"/>
                <w:numId w:val="0"/>
              </w:numPr>
              <w:pBdr/>
              <w:tabs>
                <w:tab w:val="left" w:leader="none" w:pos="426"/>
                <w:tab w:val="clear" w:leader="none" w:pos="708"/>
              </w:tabs>
              <w:spacing w:after="0" w:before="60"/>
              <w:ind w:firstLine="0" w:left="0"/>
              <w:jc w:val="left"/>
              <w:rPr>
                <w:bCs/>
                <w:i/>
                <w:shd w:val="clear" w:color="auto" w:fill="ffff99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После технического обслуживания и ремонта объект подлежит к приемо-сдаточным испытаниям.</w:t>
            </w:r>
            <w:r>
              <w:rPr>
                <w:bCs/>
                <w:i/>
                <w:shd w:val="clear" w:color="auto" w:fill="ffff99"/>
              </w:rPr>
            </w:r>
            <w:r>
              <w:rPr>
                <w:bCs/>
                <w:i/>
                <w:shd w:val="clear" w:color="auto" w:fill="ffff99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  <w:t xml:space="preserve">Согласие с требованием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1030"/>
              <w:keepNext w:val="false"/>
              <w:widowControl w:val="false"/>
              <w:numPr>
                <w:ilvl w:val="0"/>
                <w:numId w:val="0"/>
              </w:numPr>
              <w:pBdr/>
              <w:spacing w:after="60" w:before="0"/>
              <w:ind w:firstLine="0" w:left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  <w:lang w:val="ru-RU" w:eastAsia="ru-RU" w:bidi="ar-SA"/>
              </w:rPr>
            </w:r>
            <w:r>
              <w:rPr>
                <w:rFonts w:eastAsia="Times New Roman"/>
                <w:b w:val="0"/>
                <w:lang w:val="ru-RU" w:eastAsia="ru-RU"/>
              </w:rPr>
            </w:r>
            <w:r>
              <w:rPr>
                <w:rFonts w:eastAsia="Times New Roman"/>
                <w:b w:val="0"/>
                <w:lang w:val="ru-RU" w:eastAsia="ru-RU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1"/>
                <w:numId w:val="6"/>
              </w:numPr>
              <w:pBdr/>
              <w:spacing w:after="60" w:before="60"/>
              <w:ind w:firstLine="142" w:left="-117"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Требования к приемке результата оказания у</w:t>
            </w: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слуг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2"/>
                <w:numId w:val="6"/>
              </w:numPr>
              <w:pBdr/>
              <w:spacing w:after="60" w:before="60"/>
              <w:ind w:hanging="1199" w:left="1224"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textDirection w:val="lrTb"/>
            <w:noWrap w:val="false"/>
          </w:tcPr>
          <w:p>
            <w:pPr>
              <w:pStyle w:val="923"/>
              <w:widowControl w:val="false"/>
              <w:numPr>
                <w:ilvl w:val="0"/>
                <w:numId w:val="0"/>
              </w:numPr>
              <w:pBdr/>
              <w:tabs>
                <w:tab w:val="left" w:leader="none" w:pos="426"/>
                <w:tab w:val="clear" w:leader="none" w:pos="708"/>
              </w:tabs>
              <w:spacing w:after="0" w:before="60"/>
              <w:ind w:firstLine="0" w:left="0"/>
              <w:jc w:val="left"/>
              <w:rPr>
                <w:bCs/>
                <w:i/>
                <w:shd w:val="clear" w:color="auto" w:fill="ffff99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Объект должен соответствовать параметрам предусмотренным заводом изготовителем после проведения технического обслуживания и ремонта.</w:t>
            </w:r>
            <w:r>
              <w:rPr>
                <w:bCs/>
                <w:i/>
                <w:shd w:val="clear" w:color="auto" w:fill="ffff99"/>
              </w:rPr>
            </w:r>
            <w:r>
              <w:rPr>
                <w:bCs/>
                <w:i/>
                <w:shd w:val="clear" w:color="auto" w:fill="ffff99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  <w:t xml:space="preserve">Согласие с требованием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1"/>
                <w:numId w:val="6"/>
              </w:numPr>
              <w:pBdr/>
              <w:spacing w:after="60" w:before="60"/>
              <w:ind w:firstLine="142" w:left="-117"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6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Требования к документации, описывающей результат оказания услуг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2"/>
                <w:numId w:val="6"/>
              </w:numPr>
              <w:pBdr/>
              <w:spacing w:after="60" w:before="60"/>
              <w:ind w:hanging="1199" w:left="1224"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textDirection w:val="lrTb"/>
            <w:noWrap w:val="false"/>
          </w:tcPr>
          <w:p>
            <w:pPr>
              <w:pStyle w:val="1015"/>
              <w:widowControl w:val="false"/>
              <w:pBdr/>
              <w:shd w:val="clear" w:color="auto" w:fill="ffffff"/>
              <w:tabs>
                <w:tab w:val="left" w:leader="none" w:pos="284"/>
                <w:tab w:val="clear" w:leader="none" w:pos="708"/>
                <w:tab w:val="left" w:leader="none" w:pos="1134"/>
              </w:tabs>
              <w:spacing w:after="0" w:before="0"/>
              <w:ind w:firstLine="0" w:left="0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shd w:val="clear" w:color="auto" w:fill="auto"/>
                <w:lang w:val="ru-RU" w:eastAsia="ru-RU" w:bidi="ar-SA"/>
              </w:rPr>
              <w:t xml:space="preserve">Предоставить Акты об оказании Услуг с приложением Отчета об оказании Услуг и иных отчетных документов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  <w:t xml:space="preserve">Согласие с требованием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1030"/>
              <w:keepNext w:val="false"/>
              <w:widowControl w:val="false"/>
              <w:numPr>
                <w:ilvl w:val="0"/>
                <w:numId w:val="0"/>
              </w:numPr>
              <w:pBdr/>
              <w:spacing w:after="60" w:before="0"/>
              <w:ind w:firstLine="0" w:left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1030"/>
              <w:keepNext w:val="false"/>
              <w:widowControl w:val="false"/>
              <w:numPr>
                <w:ilvl w:val="0"/>
                <w:numId w:val="0"/>
              </w:numPr>
              <w:pBdr/>
              <w:spacing w:after="60" w:before="0"/>
              <w:ind w:firstLine="0" w:left="0"/>
              <w:jc w:val="left"/>
              <w:outlineLvl w:val="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u-RU" w:eastAsia="ru-RU" w:bidi="ar-SA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0"/>
                <w:numId w:val="6"/>
              </w:numPr>
              <w:pBdr/>
              <w:spacing w:after="60" w:before="60"/>
              <w:ind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4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/>
        </w:trPr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2"/>
                <w:numId w:val="6"/>
              </w:numPr>
              <w:pBdr/>
              <w:spacing w:after="60" w:before="60"/>
              <w:ind w:hanging="1199" w:left="1224"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textDirection w:val="lrTb"/>
            <w:noWrap w:val="false"/>
          </w:tcPr>
          <w:p>
            <w:pPr>
              <w:pStyle w:val="1030"/>
              <w:keepNext w:val="false"/>
              <w:widowControl w:val="false"/>
              <w:numPr>
                <w:ilvl w:val="0"/>
                <w:numId w:val="0"/>
              </w:numPr>
              <w:pBdr/>
              <w:spacing w:after="60" w:before="0"/>
              <w:ind w:firstLine="0" w:left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0"/>
                <w:i/>
                <w:sz w:val="24"/>
                <w:szCs w:val="24"/>
                <w:lang w:val="ru-RU" w:eastAsia="ru-RU" w:bidi="ar-SA"/>
              </w:rPr>
              <w:t xml:space="preserve">Требования к соблюдению положений нормативной и иной обязательной для исполнителя документации приведены в п.1.4 к настоящим Техническим требованиям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  <w:t xml:space="preserve">Согласие с требованием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1030"/>
              <w:keepNext w:val="false"/>
              <w:widowControl w:val="false"/>
              <w:numPr>
                <w:ilvl w:val="0"/>
                <w:numId w:val="0"/>
              </w:numPr>
              <w:pBdr/>
              <w:spacing w:after="60" w:before="0"/>
              <w:ind w:firstLine="0" w:left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1030"/>
              <w:keepNext w:val="false"/>
              <w:widowControl w:val="false"/>
              <w:numPr>
                <w:ilvl w:val="0"/>
                <w:numId w:val="0"/>
              </w:numPr>
              <w:pBdr/>
              <w:spacing w:after="60" w:before="0"/>
              <w:ind w:firstLine="0" w:left="0"/>
              <w:jc w:val="left"/>
              <w:outlineLvl w:val="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u-RU" w:eastAsia="ru-RU" w:bidi="ar-SA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0"/>
                <w:numId w:val="6"/>
              </w:numPr>
              <w:pBdr/>
              <w:spacing w:after="60" w:before="60"/>
              <w:ind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20"/>
              <w:ind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Требования к ответственности и гарантиям исполнителя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92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2"/>
                <w:numId w:val="6"/>
              </w:numPr>
              <w:pBdr/>
              <w:spacing w:after="60" w:before="60"/>
              <w:ind w:hanging="1199" w:left="1224"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textDirection w:val="lrTb"/>
            <w:noWrap w:val="false"/>
          </w:tcPr>
          <w:p>
            <w:pPr>
              <w:pStyle w:val="923"/>
              <w:widowControl w:val="false"/>
              <w:numPr>
                <w:ilvl w:val="0"/>
                <w:numId w:val="0"/>
              </w:numPr>
              <w:pBdr/>
              <w:tabs>
                <w:tab w:val="left" w:leader="none" w:pos="426"/>
                <w:tab w:val="clear" w:leader="none" w:pos="708"/>
              </w:tabs>
              <w:spacing w:after="0" w:before="60"/>
              <w:ind w:firstLine="0" w:left="0"/>
              <w:jc w:val="left"/>
              <w:rPr>
                <w:bCs/>
                <w:i/>
                <w:shd w:val="clear" w:color="auto" w:fill="ffff99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Исполнитель дает гарантию в течение не менее 6-и мес</w:t>
            </w: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яцев с момента подписания акта приемо-сдачи выполненных работ. При выходе из строя, узла, агрегата, запасной части Исполнитель по гарантийным обязательствам и за свой счет меняет, узел, агрегат или запасную часть на протяжении всего срока гарантии.</w:t>
            </w:r>
            <w:r>
              <w:rPr>
                <w:bCs/>
                <w:i/>
                <w:shd w:val="clear" w:color="auto" w:fill="ffff99"/>
              </w:rPr>
            </w:r>
            <w:r>
              <w:rPr>
                <w:bCs/>
                <w:i/>
                <w:shd w:val="clear" w:color="auto" w:fill="ffff99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0" w:before="0"/>
              <w:ind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  <w:t xml:space="preserve">Согласие с требованием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40"/>
              <w:ind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1030"/>
              <w:keepNext w:val="false"/>
              <w:widowControl w:val="false"/>
              <w:numPr>
                <w:ilvl w:val="0"/>
                <w:numId w:val="0"/>
              </w:numPr>
              <w:pBdr/>
              <w:spacing w:after="60" w:before="0"/>
              <w:ind w:firstLine="0" w:left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0"/>
                <w:bCs/>
                <w:sz w:val="20"/>
                <w:szCs w:val="20"/>
                <w:lang w:val="ru-RU" w:eastAsia="ru-RU" w:bidi="ar-SA"/>
              </w:rPr>
            </w:r>
            <w:r>
              <w:rPr>
                <w:rFonts w:eastAsia="Times New Roman"/>
                <w:b w:val="0"/>
                <w:bCs/>
                <w:lang w:val="ru-RU" w:eastAsia="ru-RU"/>
              </w:rPr>
            </w:r>
            <w:r>
              <w:rPr>
                <w:rFonts w:eastAsia="Times New Roman"/>
                <w:b w:val="0"/>
                <w:bCs/>
                <w:lang w:val="ru-RU" w:eastAsia="ru-RU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0"/>
                <w:numId w:val="6"/>
              </w:numPr>
              <w:pBdr/>
              <w:spacing w:after="60" w:before="60"/>
              <w:ind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vAlign w:val="center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60" w:before="6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Прочие требования к оказанию услуг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920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1015"/>
              <w:widowControl w:val="false"/>
              <w:numPr>
                <w:ilvl w:val="1"/>
                <w:numId w:val="6"/>
              </w:numPr>
              <w:pBdr/>
              <w:spacing w:after="60" w:before="60"/>
              <w:ind w:firstLine="142" w:left="-117"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vAlign w:val="center"/>
            <w:textDirection w:val="lrTb"/>
            <w:noWrap w:val="false"/>
          </w:tcPr>
          <w:p>
            <w:pPr>
              <w:pStyle w:val="923"/>
              <w:keepNext w:val="false"/>
              <w:widowControl w:val="false"/>
              <w:numPr>
                <w:ilvl w:val="0"/>
                <w:numId w:val="0"/>
              </w:numPr>
              <w:pBdr/>
              <w:bidi w:val="false"/>
              <w:spacing w:after="60" w:before="0"/>
              <w:ind w:firstLine="0" w:left="0"/>
              <w:jc w:val="left"/>
              <w:rPr>
                <w:rFonts w:ascii="Times New Roman" w:hAnsi="Times New Roman" w:eastAsia="Calibri" w:cs="Times New Roman"/>
                <w:b w:val="0"/>
                <w:bCs w:val="0"/>
                <w:i/>
                <w:iCs/>
                <w:lang w:val="ru-RU" w:eastAsia="ru-RU" w:bidi="ar-SA"/>
              </w:rPr>
            </w:pPr>
            <w:r>
              <w:rPr>
                <w:rFonts w:eastAsia="Calibri" w:cs="Times New Roman"/>
                <w:b w:val="0"/>
                <w:bCs w:val="0"/>
                <w:i/>
                <w:iCs/>
                <w:lang w:val="ru-RU" w:eastAsia="ru-RU" w:bidi="ar-SA"/>
              </w:rPr>
              <w:t xml:space="preserve">Полное обеспечение оформления заменяемых (номерных) агрегатов в ГИБДД по Республике Саха (Якутия), г.Якутск.</w:t>
            </w:r>
            <w:r>
              <w:rPr>
                <w:rFonts w:ascii="Times New Roman" w:hAnsi="Times New Roman" w:eastAsia="Calibri" w:cs="Times New Roman"/>
                <w:b w:val="0"/>
                <w:bCs w:val="0"/>
                <w:i/>
                <w:iCs/>
                <w:lang w:val="ru-RU" w:eastAsia="ru-RU" w:bidi="ar-SA"/>
              </w:rPr>
            </w:r>
            <w:r>
              <w:rPr>
                <w:rFonts w:ascii="Times New Roman" w:hAnsi="Times New Roman" w:eastAsia="Calibri" w:cs="Times New Roman"/>
                <w:b w:val="0"/>
                <w:bCs w:val="0"/>
                <w:i/>
                <w:iCs/>
                <w:lang w:val="ru-RU" w:eastAsia="ru-RU" w:bidi="ar-SA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920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0"/>
              <w:jc w:val="left"/>
              <w:outlineLvl w:val="2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  <w:t xml:space="preserve">Согласие с требованием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1030"/>
              <w:keepNext w:val="false"/>
              <w:widowControl w:val="false"/>
              <w:numPr>
                <w:ilvl w:val="0"/>
                <w:numId w:val="0"/>
              </w:numPr>
              <w:pBdr/>
              <w:spacing w:after="60" w:before="0"/>
              <w:ind w:firstLine="0" w:left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1030"/>
              <w:keepNext w:val="false"/>
              <w:widowControl w:val="false"/>
              <w:numPr>
                <w:ilvl w:val="0"/>
                <w:numId w:val="0"/>
              </w:numPr>
              <w:pBdr/>
              <w:spacing w:after="60" w:before="0"/>
              <w:ind w:firstLine="0" w:left="0"/>
              <w:jc w:val="left"/>
              <w:outlineLvl w:val="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u-RU" w:eastAsia="ru-RU" w:bidi="ar-SA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</w:tr>
    </w:tbl>
    <w:p>
      <w:pPr>
        <w:pStyle w:val="921"/>
        <w:numPr>
          <w:ilvl w:val="0"/>
          <w:numId w:val="0"/>
        </w:numPr>
        <w:pBdr/>
        <w:spacing/>
        <w:ind w:firstLine="0" w:left="0"/>
        <w:rPr>
          <w:shd w:val="clear" w:color="auto" w:fill="ffff99"/>
        </w:rPr>
      </w:pPr>
      <w:r>
        <w:rPr>
          <w:shd w:val="clear" w:color="auto" w:fill="ffff99"/>
        </w:rPr>
      </w:r>
      <w:r>
        <w:rPr>
          <w:shd w:val="clear" w:color="auto" w:fill="ffff99"/>
        </w:rPr>
      </w:r>
      <w:r>
        <w:rPr>
          <w:shd w:val="clear" w:color="auto" w:fill="ffff99"/>
        </w:rPr>
      </w:r>
    </w:p>
    <w:p>
      <w:pPr>
        <w:pStyle w:val="920"/>
        <w:pBdr/>
        <w:spacing/>
        <w:ind/>
        <w:rPr/>
      </w:pPr>
      <w:r/>
      <w:r/>
    </w:p>
    <w:p>
      <w:pPr>
        <w:pStyle w:val="920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bookmarkStart w:id="33" w:name="_GoBack"/>
      <w:r/>
      <w:bookmarkEnd w:id="33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pBdr/>
        <w:spacing/>
        <w:ind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pBdr/>
        <w:spacing/>
        <w:ind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pBdr/>
        <w:spacing/>
        <w:ind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pBdr/>
        <w:spacing/>
        <w:ind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12"/>
      <w:headerReference w:type="first" r:id="rId13"/>
      <w:footnotePr/>
      <w:endnotePr/>
      <w:type w:val="nextPage"/>
      <w:pgSz w:h="11906" w:orient="landscape" w:w="16838"/>
      <w:pgMar w:top="1134" w:right="1134" w:bottom="851" w:left="992" w:header="680" w:footer="0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panose1 w:val="020405030504060A0204"/>
  </w:font>
  <w:font w:name="Symbol">
    <w:panose1 w:val="05010000000000000000"/>
  </w:font>
  <w:font w:name="Garamond">
    <w:panose1 w:val="02020603050405020304"/>
  </w:font>
  <w:font w:name="Tahoma">
    <w:panose1 w:val="020B0604030504040204"/>
  </w:font>
  <w:font w:name="Verdana">
    <w:panose1 w:val="020B0604030504040204"/>
  </w:font>
  <w:font w:name="Calibri Light (Заголовки)">
    <w:panose1 w:val="020F0502020204030204"/>
  </w:font>
  <w:font w:name="Courier New">
    <w:panose1 w:val="02070309020205020404"/>
  </w:font>
  <w:font w:name="Mangal">
    <w:panose1 w:val="020405030504060302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8"/>
      <w:pBdr/>
      <w:spacing/>
      <w:ind/>
      <w:jc w:val="center"/>
      <w:rPr/>
    </w:pPr>
    <w:r>
      <w:fldChar w:fldCharType="begin"/>
    </w:r>
    <w:r>
      <w:instrText xml:space="preserve"> PAGE </w:instrText>
    </w:r>
    <w:r>
      <w:fldChar w:fldCharType="separate"/>
    </w:r>
    <w:r>
      <w:t xml:space="preserve">8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8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88"/>
                            <w:pBdr/>
                            <w:spacing/>
                            <w:ind/>
                            <w:rPr>
                              <w:rStyle w:val="933"/>
                            </w:rPr>
                          </w:pPr>
                          <w:r>
                            <w:rPr>
                              <w:rStyle w:val="93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3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3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33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33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33"/>
                            </w:rPr>
                          </w:r>
                          <w:r>
                            <w:rPr>
                              <w:rStyle w:val="933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88"/>
                      <w:pBdr/>
                      <w:spacing/>
                      <w:ind/>
                      <w:rPr>
                        <w:rStyle w:val="933"/>
                      </w:rPr>
                    </w:pPr>
                    <w:r>
                      <w:rPr>
                        <w:rStyle w:val="933"/>
                        <w:color w:val="000000"/>
                      </w:rPr>
                      <w:fldChar w:fldCharType="begin"/>
                    </w:r>
                    <w:r>
                      <w:rPr>
                        <w:rStyle w:val="93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33"/>
                        <w:color w:val="000000"/>
                      </w:rPr>
                      <w:fldChar w:fldCharType="separate"/>
                    </w:r>
                    <w:r>
                      <w:rPr>
                        <w:rStyle w:val="933"/>
                        <w:color w:val="000000"/>
                      </w:rPr>
                      <w:t xml:space="preserve">0</w:t>
                    </w:r>
                    <w:r>
                      <w:rPr>
                        <w:rStyle w:val="933"/>
                        <w:color w:val="000000"/>
                      </w:rPr>
                      <w:fldChar w:fldCharType="end"/>
                    </w:r>
                    <w:r>
                      <w:rPr>
                        <w:rStyle w:val="933"/>
                      </w:rPr>
                    </w:r>
                    <w:r>
                      <w:rPr>
                        <w:rStyle w:val="933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8"/>
      <w:pBdr/>
      <w:spacing/>
      <w:ind/>
      <w:jc w:val="center"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8"/>
      <w:pBdr/>
      <w:spacing/>
      <w:ind/>
      <w:jc w:val="center"/>
      <w:rPr/>
    </w:pPr>
    <w:r>
      <w:fldChar w:fldCharType="begin"/>
    </w:r>
    <w:r>
      <w:instrText xml:space="preserve"> PAGE </w:instrText>
    </w:r>
    <w:r>
      <w:fldChar w:fldCharType="separate"/>
    </w:r>
    <w:r>
      <w:t xml:space="preserve">11</w:t>
    </w:r>
    <w:r>
      <w:fldChar w:fldCharType="end"/>
    </w: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8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980"/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357"/>
        </w:tabs>
        <w:spacing/>
        <w:ind w:firstLine="0" w:left="0"/>
      </w:pPr>
      <w:pStyle w:val="981"/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2520"/>
        </w:tabs>
        <w:spacing/>
        <w:ind w:firstLine="0" w:left="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360" w:left="-207"/>
      </w:pPr>
      <w:pStyle w:val="1023"/>
      <w:rPr>
        <w:rFonts w:hint="default" w:ascii="Times New Roman" w:hAnsi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513"/>
        </w:tabs>
        <w:spacing/>
        <w:ind w:hanging="360" w:left="513"/>
      </w:pPr>
      <w:pStyle w:val="1024"/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233"/>
        </w:tabs>
        <w:spacing/>
        <w:ind w:hanging="360" w:left="1233"/>
      </w:pPr>
      <w:pStyle w:val="1022"/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1953"/>
        </w:tabs>
        <w:spacing/>
        <w:ind w:hanging="360" w:left="1953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2673"/>
        </w:tabs>
        <w:spacing/>
        <w:ind w:hanging="360" w:left="267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393"/>
        </w:tabs>
        <w:spacing/>
        <w:ind w:hanging="360" w:left="3393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113"/>
        </w:tabs>
        <w:spacing/>
        <w:ind w:hanging="360" w:left="4113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4833"/>
        </w:tabs>
        <w:spacing/>
        <w:ind w:hanging="360" w:left="483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5553"/>
        </w:tabs>
        <w:spacing/>
        <w:ind w:hanging="360" w:left="5553"/>
      </w:pPr>
      <w:rPr>
        <w:rFonts w:hint="default" w:ascii="Wingdings" w:hAnsi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5038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2" w:left="432"/>
      </w:pPr>
      <w:rPr>
        <w:b/>
        <w:bCs/>
        <w:i w:val="0"/>
        <w:iCs/>
        <w:sz w:val="24"/>
        <w:szCs w:val="24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4" w:left="1224"/>
      </w:pPr>
      <w:pStyle w:val="923"/>
      <w:rPr>
        <w:b w:val="0"/>
        <w:i w:val="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1134" w:left="1134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1134" w:left="1134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1134" w:left="1134"/>
      </w:pPr>
      <w:rPr/>
      <w:start w:val="1"/>
      <w:suff w:val="tab"/>
    </w:lvl>
    <w:lvl w:ilvl="3">
      <w:isLgl w:val="false"/>
      <w:lvlJc w:val="left"/>
      <w:lvlText w:val="(%4)"/>
      <w:numFmt w:val="russianLower"/>
      <w:pPr>
        <w:pBdr/>
        <w:tabs>
          <w:tab w:val="num" w:leader="none" w:pos="0"/>
        </w:tabs>
        <w:spacing/>
        <w:ind w:hanging="567" w:left="1985"/>
      </w:pPr>
      <w:pStyle w:val="1033"/>
      <w:rPr/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0"/>
        </w:tabs>
        <w:spacing/>
        <w:ind w:hanging="567" w:left="2268"/>
      </w:pPr>
      <w:pStyle w:val="1034"/>
      <w:rPr>
        <w:rFonts w:hint="default" w:ascii="Times New Roman" w:hAnsi="Times New Roman" w:cs="Times New Roman"/>
      </w:rPr>
      <w:start w:val="1"/>
      <w:suff w:val="tab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1134"/>
      </w:pPr>
      <w:pStyle w:val="1037"/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1701"/>
      </w:pPr>
      <w:pStyle w:val="1035"/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pStyle w:val="1036"/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1134"/>
      </w:pPr>
      <w:rPr/>
      <w:start w:val="1"/>
      <w:suff w:val="nothing"/>
    </w:lvl>
  </w:abstractNum>
  <w:abstractNum w:abstractNumId="4">
    <w:lvl w:ilvl="0">
      <w:isLgl w:val="false"/>
      <w:lvlJc w:val="left"/>
      <w:lvlText w:val="1.%1"/>
      <w:numFmt w:val="decimal"/>
      <w:pPr>
        <w:pBdr/>
        <w:tabs>
          <w:tab w:val="num" w:leader="none" w:pos="0"/>
        </w:tabs>
        <w:spacing/>
        <w:ind w:hanging="360" w:left="1429"/>
      </w:pPr>
      <w:pStyle w:val="1040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7189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>
        <w:b/>
        <w:bCs w:val="0"/>
        <w:sz w:val="24"/>
        <w:szCs w:val="24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2" w:left="792"/>
      </w:pPr>
      <w:rPr>
        <w:b w:val="0"/>
        <w:bCs/>
        <w:sz w:val="24"/>
        <w:szCs w:val="24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4" w:left="1224"/>
      </w:pPr>
      <w:rPr>
        <w:sz w:val="24"/>
        <w:szCs w:val="24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9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1">
    <w:name w:val="Table Grid Light"/>
    <w:basedOn w:val="10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1"/>
    <w:basedOn w:val="10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2"/>
    <w:basedOn w:val="10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"/>
    <w:basedOn w:val="10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1"/>
    <w:basedOn w:val="10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2"/>
    <w:basedOn w:val="10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3"/>
    <w:basedOn w:val="10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4"/>
    <w:basedOn w:val="10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5"/>
    <w:basedOn w:val="10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6"/>
    <w:basedOn w:val="10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1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2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3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4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5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6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1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2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3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4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5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6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6">
    <w:name w:val="Heading 1 Char"/>
    <w:basedOn w:val="930"/>
    <w:link w:val="9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7">
    <w:name w:val="Heading 2 Char"/>
    <w:basedOn w:val="930"/>
    <w:link w:val="9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8">
    <w:name w:val="Heading 3 Char"/>
    <w:basedOn w:val="930"/>
    <w:link w:val="9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9">
    <w:name w:val="Heading 4 Char"/>
    <w:basedOn w:val="930"/>
    <w:link w:val="92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0">
    <w:name w:val="Heading 5 Char"/>
    <w:basedOn w:val="930"/>
    <w:link w:val="9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1">
    <w:name w:val="Heading 6 Char"/>
    <w:basedOn w:val="930"/>
    <w:link w:val="92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2">
    <w:name w:val="Heading 7 Char"/>
    <w:basedOn w:val="930"/>
    <w:link w:val="92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3">
    <w:name w:val="Heading 8 Char"/>
    <w:basedOn w:val="930"/>
    <w:link w:val="92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4">
    <w:name w:val="Heading 9 Char"/>
    <w:basedOn w:val="930"/>
    <w:link w:val="9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5">
    <w:name w:val="Title"/>
    <w:basedOn w:val="920"/>
    <w:next w:val="920"/>
    <w:link w:val="90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6">
    <w:name w:val="Title Char"/>
    <w:basedOn w:val="930"/>
    <w:link w:val="90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07">
    <w:name w:val="Subtitle Char"/>
    <w:basedOn w:val="930"/>
    <w:link w:val="10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8">
    <w:name w:val="Quote Char"/>
    <w:basedOn w:val="930"/>
    <w:link w:val="101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09">
    <w:name w:val="Intense Quote Char"/>
    <w:basedOn w:val="930"/>
    <w:link w:val="101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0">
    <w:name w:val="Emphasis"/>
    <w:basedOn w:val="930"/>
    <w:uiPriority w:val="20"/>
    <w:qFormat/>
    <w:pPr>
      <w:pBdr/>
      <w:spacing/>
      <w:ind/>
    </w:pPr>
    <w:rPr>
      <w:i/>
      <w:iCs/>
    </w:rPr>
  </w:style>
  <w:style w:type="character" w:styleId="911">
    <w:name w:val="Header Char"/>
    <w:basedOn w:val="930"/>
    <w:link w:val="988"/>
    <w:uiPriority w:val="99"/>
    <w:pPr>
      <w:pBdr/>
      <w:spacing/>
      <w:ind/>
    </w:pPr>
  </w:style>
  <w:style w:type="character" w:styleId="912">
    <w:name w:val="Footer Char"/>
    <w:basedOn w:val="930"/>
    <w:link w:val="990"/>
    <w:uiPriority w:val="99"/>
    <w:pPr>
      <w:pBdr/>
      <w:spacing/>
      <w:ind/>
    </w:pPr>
  </w:style>
  <w:style w:type="character" w:styleId="913">
    <w:name w:val="Footnote Text Char"/>
    <w:basedOn w:val="930"/>
    <w:link w:val="982"/>
    <w:uiPriority w:val="99"/>
    <w:semiHidden/>
    <w:pPr>
      <w:pBdr/>
      <w:spacing/>
      <w:ind/>
    </w:pPr>
    <w:rPr>
      <w:sz w:val="20"/>
      <w:szCs w:val="20"/>
    </w:rPr>
  </w:style>
  <w:style w:type="character" w:styleId="914">
    <w:name w:val="footnote reference"/>
    <w:basedOn w:val="930"/>
    <w:uiPriority w:val="99"/>
    <w:semiHidden/>
    <w:unhideWhenUsed/>
    <w:pPr>
      <w:pBdr/>
      <w:spacing/>
      <w:ind/>
    </w:pPr>
    <w:rPr>
      <w:vertAlign w:val="superscript"/>
    </w:rPr>
  </w:style>
  <w:style w:type="character" w:styleId="915">
    <w:name w:val="Endnote Text Char"/>
    <w:basedOn w:val="930"/>
    <w:link w:val="1039"/>
    <w:uiPriority w:val="99"/>
    <w:semiHidden/>
    <w:pPr>
      <w:pBdr/>
      <w:spacing/>
      <w:ind/>
    </w:pPr>
    <w:rPr>
      <w:sz w:val="20"/>
      <w:szCs w:val="20"/>
    </w:rPr>
  </w:style>
  <w:style w:type="character" w:styleId="916">
    <w:name w:val="endnote reference"/>
    <w:basedOn w:val="930"/>
    <w:uiPriority w:val="99"/>
    <w:semiHidden/>
    <w:unhideWhenUsed/>
    <w:pPr>
      <w:pBdr/>
      <w:spacing/>
      <w:ind/>
    </w:pPr>
    <w:rPr>
      <w:vertAlign w:val="superscript"/>
    </w:rPr>
  </w:style>
  <w:style w:type="character" w:styleId="917">
    <w:name w:val="Hyperlink"/>
    <w:basedOn w:val="9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8">
    <w:name w:val="FollowedHyperlink"/>
    <w:basedOn w:val="9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9">
    <w:name w:val="table of figures"/>
    <w:basedOn w:val="920"/>
    <w:next w:val="920"/>
    <w:uiPriority w:val="99"/>
    <w:unhideWhenUsed/>
    <w:pPr>
      <w:pBdr/>
      <w:spacing w:after="0" w:afterAutospacing="0"/>
      <w:ind/>
    </w:pPr>
  </w:style>
  <w:style w:type="paragraph" w:styleId="920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8"/>
      <w:szCs w:val="28"/>
      <w:lang w:val="ru-RU" w:eastAsia="ru-RU" w:bidi="ar-SA"/>
    </w:rPr>
  </w:style>
  <w:style w:type="paragraph" w:styleId="921">
    <w:name w:val="Heading 1"/>
    <w:basedOn w:val="923"/>
    <w:next w:val="920"/>
    <w:link w:val="940"/>
    <w:qFormat/>
    <w:pPr>
      <w:pBdr/>
      <w:spacing/>
      <w:ind/>
      <w:outlineLvl w:val="0"/>
    </w:pPr>
    <w:rPr>
      <w:sz w:val="28"/>
      <w:szCs w:val="28"/>
    </w:rPr>
  </w:style>
  <w:style w:type="paragraph" w:styleId="922">
    <w:name w:val="Heading 2"/>
    <w:basedOn w:val="924"/>
    <w:next w:val="920"/>
    <w:link w:val="941"/>
    <w:qFormat/>
    <w:pPr>
      <w:pBdr/>
      <w:spacing/>
      <w:ind/>
      <w:outlineLvl w:val="1"/>
    </w:pPr>
  </w:style>
  <w:style w:type="paragraph" w:styleId="923">
    <w:name w:val="Heading 3"/>
    <w:basedOn w:val="920"/>
    <w:next w:val="920"/>
    <w:link w:val="942"/>
    <w:qFormat/>
    <w:pPr>
      <w:keepNext w:val="true"/>
      <w:numPr>
        <w:ilvl w:val="2"/>
        <w:numId w:val="3"/>
      </w:numPr>
      <w:pBdr/>
      <w:spacing w:after="60" w:before="120"/>
      <w:ind w:firstLine="294" w:left="426"/>
      <w:jc w:val="both"/>
      <w:outlineLvl w:val="2"/>
    </w:pPr>
    <w:rPr>
      <w:rFonts w:eastAsia="Calibri"/>
      <w:sz w:val="24"/>
      <w:szCs w:val="24"/>
    </w:rPr>
  </w:style>
  <w:style w:type="paragraph" w:styleId="924">
    <w:name w:val="Heading 4"/>
    <w:basedOn w:val="923"/>
    <w:next w:val="920"/>
    <w:link w:val="943"/>
    <w:qFormat/>
    <w:pPr>
      <w:pBdr/>
      <w:spacing/>
      <w:ind/>
      <w:outlineLvl w:val="3"/>
    </w:pPr>
    <w:rPr>
      <w:bCs/>
    </w:rPr>
  </w:style>
  <w:style w:type="paragraph" w:styleId="925">
    <w:name w:val="Heading 5"/>
    <w:basedOn w:val="920"/>
    <w:next w:val="920"/>
    <w:link w:val="944"/>
    <w:uiPriority w:val="9"/>
    <w:qFormat/>
    <w:pPr>
      <w:pBdr/>
      <w:spacing w:after="60" w:before="240"/>
      <w:ind/>
      <w:outlineLvl w:val="4"/>
    </w:pPr>
    <w:rPr>
      <w:b/>
      <w:bCs/>
      <w:i/>
      <w:iCs/>
      <w:sz w:val="26"/>
      <w:szCs w:val="26"/>
    </w:rPr>
  </w:style>
  <w:style w:type="paragraph" w:styleId="926">
    <w:name w:val="Heading 6"/>
    <w:basedOn w:val="920"/>
    <w:next w:val="920"/>
    <w:link w:val="937"/>
    <w:uiPriority w:val="9"/>
    <w:qFormat/>
    <w:pPr>
      <w:keepNext w:val="true"/>
      <w:keepLines w:val="true"/>
      <w:pBdr/>
      <w:spacing w:after="0" w:before="200"/>
      <w:ind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927">
    <w:name w:val="Heading 7"/>
    <w:basedOn w:val="920"/>
    <w:next w:val="920"/>
    <w:link w:val="938"/>
    <w:uiPriority w:val="9"/>
    <w:qFormat/>
    <w:pPr>
      <w:keepNext w:val="true"/>
      <w:keepLines w:val="true"/>
      <w:pBdr/>
      <w:spacing w:after="0" w:before="200"/>
      <w:ind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928">
    <w:name w:val="Heading 8"/>
    <w:basedOn w:val="920"/>
    <w:next w:val="920"/>
    <w:link w:val="939"/>
    <w:uiPriority w:val="9"/>
    <w:qFormat/>
    <w:pPr>
      <w:keepNext w:val="true"/>
      <w:keepLines w:val="true"/>
      <w:pBdr/>
      <w:spacing w:after="0" w:before="200"/>
      <w:ind/>
      <w:outlineLvl w:val="7"/>
    </w:pPr>
    <w:rPr>
      <w:rFonts w:ascii="Cambria" w:hAnsi="Cambria"/>
      <w:color w:val="4f81bd"/>
      <w:sz w:val="20"/>
      <w:szCs w:val="20"/>
    </w:rPr>
  </w:style>
  <w:style w:type="paragraph" w:styleId="929">
    <w:name w:val="Heading 9"/>
    <w:basedOn w:val="920"/>
    <w:next w:val="920"/>
    <w:link w:val="945"/>
    <w:uiPriority w:val="9"/>
    <w:qFormat/>
    <w:pPr>
      <w:pBdr/>
      <w:spacing w:after="60" w:before="240"/>
      <w:ind/>
      <w:outlineLvl w:val="8"/>
    </w:pPr>
    <w:rPr>
      <w:rFonts w:ascii="Arial" w:hAnsi="Arial"/>
      <w:sz w:val="22"/>
      <w:szCs w:val="22"/>
    </w:rPr>
  </w:style>
  <w:style w:type="character" w:styleId="930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31">
    <w:name w:val="Привязка сноски"/>
    <w:pPr>
      <w:pBdr/>
      <w:spacing/>
      <w:ind/>
    </w:pPr>
    <w:rPr>
      <w:vertAlign w:val="superscript"/>
    </w:rPr>
  </w:style>
  <w:style w:type="character" w:styleId="932">
    <w:name w:val="Footnote Characters"/>
    <w:qFormat/>
    <w:pPr>
      <w:pBdr/>
      <w:spacing/>
      <w:ind/>
    </w:pPr>
    <w:rPr>
      <w:vertAlign w:val="superscript"/>
    </w:rPr>
  </w:style>
  <w:style w:type="character" w:styleId="933">
    <w:name w:val="page number"/>
    <w:basedOn w:val="930"/>
    <w:qFormat/>
    <w:pPr>
      <w:pBdr/>
      <w:spacing/>
      <w:ind/>
    </w:pPr>
  </w:style>
  <w:style w:type="character" w:styleId="934">
    <w:name w:val="Интернет-ссылка"/>
    <w:uiPriority w:val="99"/>
    <w:pPr>
      <w:pBdr/>
      <w:spacing/>
      <w:ind/>
    </w:pPr>
    <w:rPr>
      <w:color w:val="0000ff"/>
      <w:u w:val="single"/>
    </w:rPr>
  </w:style>
  <w:style w:type="character" w:styleId="935">
    <w:name w:val="annotation reference"/>
    <w:semiHidden/>
    <w:qFormat/>
    <w:pPr>
      <w:pBdr/>
      <w:spacing/>
      <w:ind/>
    </w:pPr>
    <w:rPr>
      <w:sz w:val="16"/>
      <w:szCs w:val="16"/>
    </w:rPr>
  </w:style>
  <w:style w:type="character" w:styleId="936">
    <w:name w:val="Strong"/>
    <w:uiPriority w:val="22"/>
    <w:qFormat/>
    <w:pPr>
      <w:pBdr/>
      <w:spacing/>
      <w:ind/>
    </w:pPr>
    <w:rPr>
      <w:b/>
      <w:bCs/>
    </w:rPr>
  </w:style>
  <w:style w:type="character" w:styleId="937" w:customStyle="1">
    <w:name w:val="Заголовок 6 Знак"/>
    <w:uiPriority w:val="9"/>
    <w:qFormat/>
    <w:pPr>
      <w:pBdr/>
      <w:spacing/>
      <w:ind/>
    </w:pPr>
    <w:rPr>
      <w:rFonts w:ascii="Cambria" w:hAnsi="Cambria"/>
      <w:i/>
      <w:iCs/>
      <w:color w:val="243f60"/>
    </w:rPr>
  </w:style>
  <w:style w:type="character" w:styleId="938" w:customStyle="1">
    <w:name w:val="Заголовок 7 Знак"/>
    <w:uiPriority w:val="9"/>
    <w:qFormat/>
    <w:pPr>
      <w:pBdr/>
      <w:spacing/>
      <w:ind/>
    </w:pPr>
    <w:rPr>
      <w:rFonts w:ascii="Cambria" w:hAnsi="Cambria"/>
      <w:i/>
      <w:iCs/>
      <w:color w:val="404040"/>
    </w:rPr>
  </w:style>
  <w:style w:type="character" w:styleId="939" w:customStyle="1">
    <w:name w:val="Заголовок 8 Знак"/>
    <w:uiPriority w:val="9"/>
    <w:qFormat/>
    <w:pPr>
      <w:pBdr/>
      <w:spacing/>
      <w:ind/>
    </w:pPr>
    <w:rPr>
      <w:rFonts w:ascii="Cambria" w:hAnsi="Cambria"/>
      <w:color w:val="4f81bd"/>
    </w:rPr>
  </w:style>
  <w:style w:type="character" w:styleId="940" w:customStyle="1">
    <w:name w:val="Заголовок 1 Знак"/>
    <w:qFormat/>
    <w:pPr>
      <w:pBdr/>
      <w:spacing/>
      <w:ind/>
    </w:pPr>
    <w:rPr>
      <w:rFonts w:eastAsia="Calibri"/>
      <w:b/>
      <w:sz w:val="28"/>
      <w:szCs w:val="28"/>
    </w:rPr>
  </w:style>
  <w:style w:type="character" w:styleId="941" w:customStyle="1">
    <w:name w:val="Заголовок 2 Знак"/>
    <w:qFormat/>
    <w:pPr>
      <w:pBdr/>
      <w:spacing/>
      <w:ind/>
    </w:pPr>
    <w:rPr>
      <w:rFonts w:eastAsia="Calibri"/>
      <w:b/>
      <w:bCs/>
      <w:sz w:val="24"/>
      <w:szCs w:val="24"/>
    </w:rPr>
  </w:style>
  <w:style w:type="character" w:styleId="942" w:customStyle="1">
    <w:name w:val="Заголовок 3 Знак"/>
    <w:qFormat/>
    <w:pPr>
      <w:pBdr/>
      <w:spacing/>
      <w:ind/>
    </w:pPr>
    <w:rPr>
      <w:rFonts w:eastAsia="Calibri"/>
      <w:sz w:val="24"/>
      <w:szCs w:val="24"/>
    </w:rPr>
  </w:style>
  <w:style w:type="character" w:styleId="943" w:customStyle="1">
    <w:name w:val="Заголовок 4 Знак"/>
    <w:qFormat/>
    <w:pPr>
      <w:pBdr/>
      <w:spacing/>
      <w:ind/>
    </w:pPr>
    <w:rPr>
      <w:rFonts w:eastAsia="Calibri"/>
      <w:b/>
      <w:bCs/>
      <w:sz w:val="24"/>
      <w:szCs w:val="24"/>
    </w:rPr>
  </w:style>
  <w:style w:type="character" w:styleId="944" w:customStyle="1">
    <w:name w:val="Заголовок 5 Знак"/>
    <w:uiPriority w:val="9"/>
    <w:qFormat/>
    <w:pPr>
      <w:pBdr/>
      <w:spacing/>
      <w:ind/>
    </w:pPr>
    <w:rPr>
      <w:b/>
      <w:bCs/>
      <w:i/>
      <w:iCs/>
      <w:sz w:val="26"/>
      <w:szCs w:val="26"/>
    </w:rPr>
  </w:style>
  <w:style w:type="character" w:styleId="945" w:customStyle="1">
    <w:name w:val="Заголовок 9 Знак"/>
    <w:uiPriority w:val="9"/>
    <w:qFormat/>
    <w:pPr>
      <w:pBdr/>
      <w:spacing/>
      <w:ind/>
    </w:pPr>
    <w:rPr>
      <w:rFonts w:ascii="Arial" w:hAnsi="Arial" w:cs="Arial"/>
      <w:sz w:val="22"/>
      <w:szCs w:val="22"/>
    </w:rPr>
  </w:style>
  <w:style w:type="character" w:styleId="946" w:customStyle="1">
    <w:name w:val="Название Знак"/>
    <w:link w:val="986"/>
    <w:uiPriority w:val="10"/>
    <w:qFormat/>
    <w:pPr>
      <w:pBdr/>
      <w:spacing/>
      <w:ind/>
    </w:pPr>
    <w:rPr>
      <w:sz w:val="28"/>
    </w:rPr>
  </w:style>
  <w:style w:type="character" w:styleId="947" w:customStyle="1">
    <w:name w:val="Подзаголовок Знак"/>
    <w:uiPriority w:val="11"/>
    <w:qFormat/>
    <w:pPr>
      <w:pBdr/>
      <w:spacing/>
      <w:ind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styleId="948">
    <w:name w:val="Выделение"/>
    <w:uiPriority w:val="20"/>
    <w:qFormat/>
    <w:pPr>
      <w:pBdr/>
      <w:spacing/>
      <w:ind/>
    </w:pPr>
    <w:rPr>
      <w:i/>
      <w:iCs/>
    </w:rPr>
  </w:style>
  <w:style w:type="character" w:styleId="949" w:customStyle="1">
    <w:name w:val="Цитата 2 Знак"/>
    <w:link w:val="1016"/>
    <w:uiPriority w:val="29"/>
    <w:qFormat/>
    <w:pPr>
      <w:pBdr/>
      <w:spacing/>
      <w:ind/>
    </w:pPr>
    <w:rPr>
      <w:rFonts w:ascii="Calibri" w:hAnsi="Calibri" w:eastAsia="Calibri"/>
      <w:i/>
      <w:iCs/>
      <w:color w:val="000000"/>
    </w:rPr>
  </w:style>
  <w:style w:type="character" w:styleId="950" w:customStyle="1">
    <w:name w:val="Выделенная цитата Знак"/>
    <w:link w:val="1017"/>
    <w:uiPriority w:val="30"/>
    <w:qFormat/>
    <w:pPr>
      <w:pBdr/>
      <w:spacing/>
      <w:ind/>
    </w:pPr>
    <w:rPr>
      <w:rFonts w:ascii="Calibri" w:hAnsi="Calibri" w:eastAsia="Calibri"/>
      <w:b/>
      <w:bCs/>
      <w:i/>
      <w:iCs/>
      <w:color w:val="4f81bd"/>
    </w:rPr>
  </w:style>
  <w:style w:type="character" w:styleId="951">
    <w:name w:val="Subtle Emphasis"/>
    <w:uiPriority w:val="19"/>
    <w:qFormat/>
    <w:pPr>
      <w:pBdr/>
      <w:spacing/>
      <w:ind/>
    </w:pPr>
    <w:rPr>
      <w:i/>
      <w:iCs/>
      <w:color w:val="808080"/>
    </w:rPr>
  </w:style>
  <w:style w:type="character" w:styleId="952">
    <w:name w:val="Intense Emphasis"/>
    <w:uiPriority w:val="21"/>
    <w:qFormat/>
    <w:pPr>
      <w:pBdr/>
      <w:spacing/>
      <w:ind/>
    </w:pPr>
    <w:rPr>
      <w:b/>
      <w:bCs/>
      <w:i/>
      <w:iCs/>
      <w:color w:val="4f81bd"/>
    </w:rPr>
  </w:style>
  <w:style w:type="character" w:styleId="953">
    <w:name w:val="Subtle Reference"/>
    <w:uiPriority w:val="31"/>
    <w:qFormat/>
    <w:pPr>
      <w:pBdr/>
      <w:spacing/>
      <w:ind/>
    </w:pPr>
    <w:rPr>
      <w:smallCaps/>
      <w:color w:val="c0504d"/>
      <w:u w:val="single"/>
    </w:rPr>
  </w:style>
  <w:style w:type="character" w:styleId="954">
    <w:name w:val="Intense Reference"/>
    <w:uiPriority w:val="32"/>
    <w:qFormat/>
    <w:pPr>
      <w:pBdr/>
      <w:spacing/>
      <w:ind/>
    </w:pPr>
    <w:rPr>
      <w:b/>
      <w:bCs/>
      <w:smallCaps/>
      <w:color w:val="c0504d"/>
      <w:spacing w:val="5"/>
      <w:u w:val="single"/>
    </w:rPr>
  </w:style>
  <w:style w:type="character" w:styleId="955">
    <w:name w:val="Book Title"/>
    <w:uiPriority w:val="33"/>
    <w:qFormat/>
    <w:pPr>
      <w:pBdr/>
      <w:spacing/>
      <w:ind/>
    </w:pPr>
    <w:rPr>
      <w:b/>
      <w:bCs/>
      <w:smallCaps/>
      <w:spacing w:val="5"/>
    </w:rPr>
  </w:style>
  <w:style w:type="character" w:styleId="956" w:customStyle="1">
    <w:name w:val="Электронная подпись Знак"/>
    <w:link w:val="1020"/>
    <w:uiPriority w:val="99"/>
    <w:qFormat/>
    <w:pPr>
      <w:pBdr/>
      <w:spacing/>
      <w:ind/>
    </w:pPr>
    <w:rPr>
      <w:rFonts w:eastAsia="Calibri"/>
      <w:sz w:val="24"/>
      <w:szCs w:val="24"/>
    </w:rPr>
  </w:style>
  <w:style w:type="character" w:styleId="957" w:customStyle="1">
    <w:name w:val="Подпункт Знак1"/>
    <w:link w:val="996"/>
    <w:qFormat/>
    <w:pPr>
      <w:pBdr/>
      <w:spacing/>
      <w:ind/>
    </w:pPr>
    <w:rPr>
      <w:sz w:val="28"/>
    </w:rPr>
  </w:style>
  <w:style w:type="character" w:styleId="958" w:customStyle="1">
    <w:name w:val="Текст сноски Знак"/>
    <w:qFormat/>
    <w:pPr>
      <w:pBdr/>
      <w:spacing/>
      <w:ind/>
    </w:pPr>
  </w:style>
  <w:style w:type="character" w:styleId="959" w:customStyle="1">
    <w:name w:val="Основной текст Знак"/>
    <w:qFormat/>
    <w:pPr>
      <w:pBdr/>
      <w:spacing/>
      <w:ind/>
    </w:pPr>
    <w:rPr>
      <w:sz w:val="28"/>
      <w:szCs w:val="28"/>
    </w:rPr>
  </w:style>
  <w:style w:type="character" w:styleId="960" w:customStyle="1">
    <w:name w:val="blk"/>
    <w:qFormat/>
    <w:pPr>
      <w:pBdr/>
      <w:spacing/>
      <w:ind/>
    </w:pPr>
  </w:style>
  <w:style w:type="character" w:styleId="961" w:customStyle="1">
    <w:name w:val="Абзац списка Знак"/>
    <w:link w:val="1015"/>
    <w:uiPriority w:val="34"/>
    <w:qFormat/>
    <w:pPr>
      <w:pBdr/>
      <w:spacing/>
      <w:ind/>
    </w:pPr>
    <w:rPr>
      <w:rFonts w:eastAsia="Calibri"/>
      <w:sz w:val="24"/>
      <w:szCs w:val="24"/>
    </w:rPr>
  </w:style>
  <w:style w:type="character" w:styleId="962" w:customStyle="1">
    <w:name w:val="комментарий"/>
    <w:qFormat/>
    <w:pPr>
      <w:pBdr/>
      <w:spacing/>
      <w:ind/>
    </w:pPr>
    <w:rPr>
      <w:b/>
      <w:i/>
      <w:shd w:val="clear" w:color="auto" w:fill="ffff99"/>
    </w:rPr>
  </w:style>
  <w:style w:type="character" w:styleId="963" w:customStyle="1">
    <w:name w:val="Подподпункт Знак"/>
    <w:link w:val="1032"/>
    <w:qFormat/>
    <w:pPr>
      <w:pBdr/>
      <w:spacing/>
      <w:ind/>
    </w:pPr>
    <w:rPr>
      <w:sz w:val="26"/>
      <w:szCs w:val="26"/>
    </w:rPr>
  </w:style>
  <w:style w:type="character" w:styleId="964" w:customStyle="1">
    <w:name w:val="УРОВЕНЬ_Абзац_тип3 Знак"/>
    <w:link w:val="1036"/>
    <w:qFormat/>
    <w:pPr>
      <w:pBdr/>
      <w:spacing/>
      <w:ind/>
    </w:pPr>
    <w:rPr>
      <w:rFonts w:eastAsia="Calibri"/>
      <w:sz w:val="26"/>
      <w:szCs w:val="28"/>
      <w:lang w:eastAsia="en-US"/>
    </w:rPr>
  </w:style>
  <w:style w:type="character" w:styleId="965" w:customStyle="1">
    <w:name w:val="Верхний колонтитул Знак"/>
    <w:uiPriority w:val="99"/>
    <w:qFormat/>
    <w:pPr>
      <w:pBdr/>
      <w:spacing/>
      <w:ind/>
    </w:pPr>
    <w:rPr>
      <w:sz w:val="24"/>
      <w:szCs w:val="24"/>
    </w:rPr>
  </w:style>
  <w:style w:type="character" w:styleId="966" w:customStyle="1">
    <w:name w:val="Текст примечания Знак"/>
    <w:link w:val="1004"/>
    <w:semiHidden/>
    <w:qFormat/>
    <w:pPr>
      <w:pBdr/>
      <w:spacing/>
      <w:ind/>
    </w:pPr>
  </w:style>
  <w:style w:type="character" w:styleId="967" w:customStyle="1">
    <w:name w:val="Текст концевой сноски Знак"/>
    <w:basedOn w:val="930"/>
    <w:qFormat/>
    <w:pPr>
      <w:pBdr/>
      <w:spacing/>
      <w:ind/>
    </w:pPr>
  </w:style>
  <w:style w:type="character" w:styleId="968">
    <w:name w:val="Привязка концевой сноски"/>
    <w:pPr>
      <w:pBdr/>
      <w:spacing/>
      <w:ind/>
    </w:pPr>
    <w:rPr>
      <w:vertAlign w:val="superscript"/>
    </w:rPr>
  </w:style>
  <w:style w:type="character" w:styleId="969">
    <w:name w:val="Endnote Characters"/>
    <w:basedOn w:val="930"/>
    <w:qFormat/>
    <w:pPr>
      <w:pBdr/>
      <w:spacing/>
      <w:ind/>
    </w:pPr>
    <w:rPr>
      <w:vertAlign w:val="superscript"/>
    </w:rPr>
  </w:style>
  <w:style w:type="character" w:styleId="970" w:customStyle="1">
    <w:name w:val="Пункт2 Знак"/>
    <w:link w:val="997"/>
    <w:qFormat/>
    <w:pPr>
      <w:pBdr/>
      <w:spacing/>
      <w:ind/>
    </w:pPr>
    <w:rPr>
      <w:b/>
      <w:sz w:val="28"/>
    </w:rPr>
  </w:style>
  <w:style w:type="character" w:styleId="971" w:customStyle="1">
    <w:name w:val="УРОВЕНЬ_1. Знак"/>
    <w:link w:val="1043"/>
    <w:qFormat/>
    <w:pPr>
      <w:pBdr/>
      <w:spacing/>
      <w:ind/>
    </w:pPr>
    <w:rPr>
      <w:rFonts w:eastAsia="Calibri"/>
      <w:caps/>
      <w:sz w:val="28"/>
      <w:szCs w:val="28"/>
      <w:lang w:eastAsia="en-US"/>
    </w:rPr>
  </w:style>
  <w:style w:type="character" w:styleId="972">
    <w:name w:val="Ссылка указателя"/>
    <w:qFormat/>
    <w:pPr>
      <w:pBdr/>
      <w:spacing/>
      <w:ind/>
    </w:pPr>
  </w:style>
  <w:style w:type="character" w:styleId="973">
    <w:name w:val="Символ нумерации"/>
    <w:qFormat/>
    <w:pPr>
      <w:pBdr/>
      <w:spacing/>
      <w:ind/>
    </w:pPr>
  </w:style>
  <w:style w:type="paragraph" w:styleId="974">
    <w:name w:val="Заголовок"/>
    <w:basedOn w:val="920"/>
    <w:next w:val="975"/>
    <w:qFormat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975">
    <w:name w:val="Body Text"/>
    <w:basedOn w:val="920"/>
    <w:link w:val="959"/>
    <w:pPr>
      <w:pBdr/>
      <w:spacing w:after="120" w:before="0"/>
      <w:ind/>
    </w:pPr>
  </w:style>
  <w:style w:type="paragraph" w:styleId="976">
    <w:name w:val="List"/>
    <w:basedOn w:val="975"/>
    <w:pPr>
      <w:pBdr/>
      <w:spacing/>
      <w:ind/>
    </w:pPr>
    <w:rPr>
      <w:rFonts w:cs="Mangal"/>
    </w:rPr>
  </w:style>
  <w:style w:type="paragraph" w:styleId="977">
    <w:name w:val="Caption"/>
    <w:basedOn w:val="920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78">
    <w:name w:val="Указатель"/>
    <w:basedOn w:val="920"/>
    <w:qFormat/>
    <w:pPr>
      <w:suppressLineNumbers w:val="true"/>
      <w:pBdr/>
      <w:spacing/>
      <w:ind/>
    </w:pPr>
    <w:rPr>
      <w:rFonts w:cs="Mangal"/>
    </w:rPr>
  </w:style>
  <w:style w:type="paragraph" w:styleId="979" w:customStyle="1">
    <w:name w:val="Название раздела инструкции"/>
    <w:basedOn w:val="920"/>
    <w:qFormat/>
    <w:pPr>
      <w:pBdr/>
      <w:spacing/>
      <w:ind/>
      <w:jc w:val="center"/>
    </w:pPr>
    <w:rPr>
      <w:b/>
    </w:rPr>
  </w:style>
  <w:style w:type="paragraph" w:styleId="980" w:customStyle="1">
    <w:name w:val="Раздел положения"/>
    <w:basedOn w:val="920"/>
    <w:qFormat/>
    <w:pPr>
      <w:numPr>
        <w:ilvl w:val="0"/>
        <w:numId w:val="1"/>
      </w:numPr>
      <w:pBdr/>
      <w:spacing w:after="80" w:before="80"/>
      <w:ind/>
      <w:jc w:val="center"/>
    </w:pPr>
    <w:rPr>
      <w:b/>
      <w:sz w:val="32"/>
      <w:szCs w:val="32"/>
    </w:rPr>
  </w:style>
  <w:style w:type="paragraph" w:styleId="981" w:customStyle="1">
    <w:name w:val="Подраздел раздела положения"/>
    <w:basedOn w:val="920"/>
    <w:qFormat/>
    <w:pPr>
      <w:numPr>
        <w:ilvl w:val="1"/>
        <w:numId w:val="1"/>
      </w:numPr>
      <w:pBdr/>
      <w:spacing w:after="80" w:before="80"/>
      <w:ind/>
      <w:jc w:val="both"/>
    </w:pPr>
  </w:style>
  <w:style w:type="paragraph" w:styleId="982">
    <w:name w:val="footnote text"/>
    <w:basedOn w:val="920"/>
    <w:link w:val="958"/>
    <w:pPr>
      <w:pBdr/>
      <w:spacing/>
      <w:ind/>
    </w:pPr>
    <w:rPr>
      <w:sz w:val="20"/>
      <w:szCs w:val="20"/>
    </w:rPr>
  </w:style>
  <w:style w:type="paragraph" w:styleId="983" w:customStyle="1">
    <w:name w:val="Шапка 1"/>
    <w:basedOn w:val="920"/>
    <w:qFormat/>
    <w:pPr>
      <w:pBdr>
        <w:bottom w:val="single" w:color="000000" w:sz="24" w:space="1"/>
      </w:pBdr>
      <w:spacing w:after="240" w:before="0"/>
      <w:ind/>
      <w:jc w:val="center"/>
    </w:pPr>
    <w:rPr>
      <w:sz w:val="22"/>
      <w:szCs w:val="22"/>
    </w:rPr>
  </w:style>
  <w:style w:type="paragraph" w:styleId="984" w:customStyle="1">
    <w:name w:val="Шапка 2"/>
    <w:basedOn w:val="920"/>
    <w:qFormat/>
    <w:pPr>
      <w:pBdr>
        <w:bottom w:val="single" w:color="000000" w:sz="24" w:space="1"/>
      </w:pBdr>
      <w:spacing w:after="120" w:before="0"/>
      <w:ind/>
      <w:jc w:val="center"/>
    </w:pPr>
    <w:rPr>
      <w:b/>
      <w:sz w:val="22"/>
      <w:szCs w:val="22"/>
    </w:rPr>
  </w:style>
  <w:style w:type="paragraph" w:styleId="985" w:customStyle="1">
    <w:name w:val="Шапка 3"/>
    <w:basedOn w:val="920"/>
    <w:qFormat/>
    <w:pPr>
      <w:pBdr>
        <w:bottom w:val="single" w:color="000000" w:sz="24" w:space="1"/>
      </w:pBdr>
      <w:spacing w:after="360" w:before="240"/>
      <w:ind/>
      <w:jc w:val="center"/>
    </w:pPr>
    <w:rPr>
      <w:b/>
      <w:sz w:val="24"/>
      <w:szCs w:val="24"/>
    </w:rPr>
  </w:style>
  <w:style w:type="paragraph" w:styleId="986" w:customStyle="1">
    <w:name w:val="Название1"/>
    <w:basedOn w:val="920"/>
    <w:link w:val="946"/>
    <w:uiPriority w:val="10"/>
    <w:qFormat/>
    <w:pPr>
      <w:pBdr/>
      <w:spacing/>
      <w:ind/>
      <w:jc w:val="center"/>
    </w:pPr>
    <w:rPr>
      <w:szCs w:val="20"/>
    </w:rPr>
  </w:style>
  <w:style w:type="paragraph" w:styleId="987">
    <w:name w:val="Колонтитул"/>
    <w:basedOn w:val="920"/>
    <w:qFormat/>
    <w:pPr>
      <w:pBdr/>
      <w:spacing/>
      <w:ind/>
    </w:pPr>
  </w:style>
  <w:style w:type="paragraph" w:styleId="988">
    <w:name w:val="Header"/>
    <w:basedOn w:val="920"/>
    <w:link w:val="965"/>
    <w:uiPriority w:val="99"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sz w:val="24"/>
      <w:szCs w:val="24"/>
    </w:rPr>
  </w:style>
  <w:style w:type="paragraph" w:styleId="989">
    <w:name w:val="Body Text Indent"/>
    <w:basedOn w:val="920"/>
    <w:pPr>
      <w:pBdr/>
      <w:spacing/>
      <w:ind w:firstLine="0" w:left="360"/>
    </w:pPr>
    <w:rPr>
      <w:sz w:val="24"/>
      <w:szCs w:val="24"/>
    </w:rPr>
  </w:style>
  <w:style w:type="paragraph" w:styleId="990">
    <w:name w:val="Footer"/>
    <w:basedOn w:val="920"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991">
    <w:name w:val="Body Text Indent 2"/>
    <w:basedOn w:val="920"/>
    <w:qFormat/>
    <w:pPr>
      <w:pBdr/>
      <w:spacing w:after="120" w:before="0" w:line="480" w:lineRule="auto"/>
      <w:ind w:firstLine="0" w:left="283"/>
    </w:pPr>
  </w:style>
  <w:style w:type="paragraph" w:styleId="992">
    <w:name w:val="Body Text 3"/>
    <w:basedOn w:val="920"/>
    <w:qFormat/>
    <w:pPr>
      <w:pBdr/>
      <w:spacing w:after="120" w:before="0"/>
      <w:ind/>
    </w:pPr>
    <w:rPr>
      <w:sz w:val="16"/>
      <w:szCs w:val="16"/>
    </w:rPr>
  </w:style>
  <w:style w:type="paragraph" w:styleId="993">
    <w:name w:val="Body Text Indent 3"/>
    <w:basedOn w:val="920"/>
    <w:qFormat/>
    <w:pPr>
      <w:pBdr/>
      <w:spacing w:after="120" w:before="0"/>
      <w:ind w:firstLine="0" w:left="283"/>
    </w:pPr>
    <w:rPr>
      <w:sz w:val="16"/>
      <w:szCs w:val="16"/>
    </w:rPr>
  </w:style>
  <w:style w:type="paragraph" w:styleId="994">
    <w:name w:val="Body Text 2"/>
    <w:basedOn w:val="920"/>
    <w:qFormat/>
    <w:pPr>
      <w:pBdr/>
      <w:spacing w:after="120" w:before="0" w:line="480" w:lineRule="auto"/>
      <w:ind/>
    </w:pPr>
  </w:style>
  <w:style w:type="paragraph" w:styleId="995">
    <w:name w:val="Block Text"/>
    <w:basedOn w:val="920"/>
    <w:qFormat/>
    <w:pPr>
      <w:pBdr/>
      <w:spacing/>
      <w:ind w:right="-766" w:firstLine="0" w:left="-567"/>
      <w:jc w:val="center"/>
    </w:pPr>
    <w:rPr>
      <w:b/>
      <w:bCs/>
      <w:sz w:val="24"/>
      <w:szCs w:val="20"/>
    </w:rPr>
  </w:style>
  <w:style w:type="paragraph" w:styleId="996" w:customStyle="1">
    <w:name w:val="Подпункт"/>
    <w:basedOn w:val="920"/>
    <w:link w:val="957"/>
    <w:qFormat/>
    <w:pPr>
      <w:pBdr/>
      <w:tabs>
        <w:tab w:val="clear" w:leader="none" w:pos="708"/>
        <w:tab w:val="left" w:leader="none" w:pos="1134"/>
      </w:tabs>
      <w:spacing w:line="360" w:lineRule="auto"/>
      <w:ind w:hanging="1134" w:left="1134"/>
      <w:jc w:val="both"/>
    </w:pPr>
    <w:rPr>
      <w:szCs w:val="20"/>
    </w:rPr>
  </w:style>
  <w:style w:type="paragraph" w:styleId="997" w:customStyle="1">
    <w:name w:val="Пункт2"/>
    <w:basedOn w:val="920"/>
    <w:link w:val="970"/>
    <w:qFormat/>
    <w:pPr>
      <w:keepNext w:val="true"/>
      <w:pBdr/>
      <w:tabs>
        <w:tab w:val="clear" w:leader="none" w:pos="708"/>
        <w:tab w:val="left" w:leader="none" w:pos="1134"/>
      </w:tabs>
      <w:spacing w:after="120" w:before="240"/>
      <w:ind w:hanging="1134" w:left="1134"/>
      <w:outlineLvl w:val="2"/>
    </w:pPr>
    <w:rPr>
      <w:b/>
      <w:szCs w:val="20"/>
    </w:rPr>
  </w:style>
  <w:style w:type="paragraph" w:styleId="998">
    <w:name w:val="TOC 1"/>
    <w:basedOn w:val="920"/>
    <w:next w:val="920"/>
    <w:uiPriority w:val="39"/>
    <w:pPr>
      <w:pBdr/>
      <w:spacing w:after="0" w:before="120"/>
      <w:ind/>
    </w:pPr>
    <w:rPr>
      <w:rFonts w:cs="Calibri Light (Заголовки)"/>
      <w:b/>
      <w:bCs/>
      <w:sz w:val="24"/>
      <w:szCs w:val="24"/>
    </w:rPr>
  </w:style>
  <w:style w:type="paragraph" w:styleId="999">
    <w:name w:val="TOC 3"/>
    <w:basedOn w:val="920"/>
    <w:next w:val="920"/>
    <w:uiPriority w:val="39"/>
    <w:pPr>
      <w:pBdr/>
      <w:spacing/>
      <w:ind w:firstLine="0" w:left="280"/>
    </w:pPr>
    <w:rPr>
      <w:rFonts w:cs="Calibri" w:cstheme="minorHAnsi"/>
      <w:sz w:val="20"/>
      <w:szCs w:val="20"/>
    </w:rPr>
  </w:style>
  <w:style w:type="paragraph" w:styleId="1000" w:customStyle="1">
    <w:name w:val="Раздел регламента"/>
    <w:basedOn w:val="920"/>
    <w:qFormat/>
    <w:pPr>
      <w:pBdr/>
      <w:spacing/>
      <w:ind/>
    </w:pPr>
  </w:style>
  <w:style w:type="paragraph" w:styleId="1001" w:customStyle="1">
    <w:name w:val="Приложение к регламенту"/>
    <w:basedOn w:val="920"/>
    <w:qFormat/>
    <w:pPr>
      <w:pBdr/>
      <w:spacing/>
      <w:ind/>
      <w:jc w:val="right"/>
    </w:pPr>
  </w:style>
  <w:style w:type="paragraph" w:styleId="1002">
    <w:name w:val="TOC 2"/>
    <w:basedOn w:val="920"/>
    <w:next w:val="920"/>
    <w:uiPriority w:val="39"/>
    <w:pPr>
      <w:pBdr/>
      <w:spacing w:after="0" w:before="240"/>
      <w:ind/>
    </w:pPr>
    <w:rPr>
      <w:rFonts w:cs="Calibri" w:cstheme="minorHAnsi"/>
      <w:bCs/>
      <w:sz w:val="20"/>
      <w:szCs w:val="20"/>
    </w:rPr>
  </w:style>
  <w:style w:type="paragraph" w:styleId="1003">
    <w:name w:val="Balloon Text"/>
    <w:basedOn w:val="920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1004">
    <w:name w:val="annotation text"/>
    <w:basedOn w:val="920"/>
    <w:link w:val="966"/>
    <w:semiHidden/>
    <w:qFormat/>
    <w:pPr>
      <w:pBdr/>
      <w:spacing/>
      <w:ind/>
    </w:pPr>
    <w:rPr>
      <w:sz w:val="20"/>
      <w:szCs w:val="20"/>
    </w:rPr>
  </w:style>
  <w:style w:type="paragraph" w:styleId="1005">
    <w:name w:val="annotation subject"/>
    <w:basedOn w:val="1004"/>
    <w:next w:val="1004"/>
    <w:semiHidden/>
    <w:qFormat/>
    <w:pPr>
      <w:pBdr/>
      <w:spacing/>
      <w:ind/>
    </w:pPr>
    <w:rPr>
      <w:b/>
      <w:bCs/>
    </w:rPr>
  </w:style>
  <w:style w:type="paragraph" w:styleId="1006" w:customStyle="1">
    <w:name w:val="Обычный (веб)1"/>
    <w:basedOn w:val="920"/>
    <w:uiPriority w:val="99"/>
    <w:qFormat/>
    <w:pPr>
      <w:pBdr/>
      <w:spacing w:afterAutospacing="1" w:beforeAutospacing="1"/>
      <w:ind/>
    </w:pPr>
    <w:rPr>
      <w:rFonts w:ascii="Arial Unicode MS" w:hAnsi="Arial Unicode MS" w:eastAsia="Arial Unicode MS" w:cs="Arial Unicode MS"/>
      <w:sz w:val="24"/>
      <w:szCs w:val="24"/>
    </w:rPr>
  </w:style>
  <w:style w:type="paragraph" w:styleId="1007">
    <w:name w:val="TOC 9"/>
    <w:basedOn w:val="920"/>
    <w:next w:val="920"/>
    <w:semiHidden/>
    <w:pPr>
      <w:pBdr/>
      <w:spacing/>
      <w:ind w:firstLine="0" w:left="1960"/>
    </w:pPr>
    <w:rPr>
      <w:rFonts w:ascii="Calibri" w:hAnsi="Calibri" w:cs="Calibri" w:asciiTheme="minorHAnsi" w:hAnsiTheme="minorHAnsi" w:cstheme="minorHAnsi"/>
      <w:sz w:val="20"/>
      <w:szCs w:val="20"/>
    </w:rPr>
  </w:style>
  <w:style w:type="paragraph" w:styleId="1008">
    <w:name w:val="TOC 5"/>
    <w:basedOn w:val="920"/>
    <w:next w:val="920"/>
    <w:semiHidden/>
    <w:pPr>
      <w:pBdr/>
      <w:spacing/>
      <w:ind w:firstLine="0" w:left="840"/>
    </w:pPr>
    <w:rPr>
      <w:rFonts w:ascii="Calibri" w:hAnsi="Calibri" w:cs="Calibri" w:asciiTheme="minorHAnsi" w:hAnsiTheme="minorHAnsi" w:cstheme="minorHAnsi"/>
      <w:sz w:val="20"/>
      <w:szCs w:val="20"/>
    </w:rPr>
  </w:style>
  <w:style w:type="paragraph" w:styleId="1009">
    <w:name w:val="TOC 4"/>
    <w:basedOn w:val="920"/>
    <w:next w:val="920"/>
    <w:uiPriority w:val="39"/>
    <w:pPr>
      <w:pBdr/>
      <w:tabs>
        <w:tab w:val="clear" w:leader="none" w:pos="708"/>
        <w:tab w:val="left" w:leader="none" w:pos="1120"/>
        <w:tab w:val="right" w:leader="none" w:pos="9911"/>
      </w:tabs>
      <w:spacing/>
      <w:ind w:firstLine="0" w:left="560"/>
    </w:pPr>
    <w:rPr>
      <w:rFonts w:cs="Calibri" w:cstheme="minorHAnsi"/>
      <w:sz w:val="20"/>
      <w:szCs w:val="20"/>
    </w:rPr>
  </w:style>
  <w:style w:type="paragraph" w:styleId="1010" w:customStyle="1">
    <w:name w:val="Раздел положения 2"/>
    <w:basedOn w:val="920"/>
    <w:qFormat/>
    <w:pPr>
      <w:pageBreakBefore w:val="true"/>
      <w:pBdr/>
      <w:spacing/>
      <w:ind/>
      <w:jc w:val="both"/>
      <w:outlineLvl w:val="0"/>
    </w:pPr>
    <w:rPr>
      <w:b/>
    </w:rPr>
  </w:style>
  <w:style w:type="paragraph" w:styleId="1011" w:customStyle="1">
    <w:name w:val="Знак Знак Знак Знак Знак Знак Знак Знак Знак"/>
    <w:basedOn w:val="920"/>
    <w:qFormat/>
    <w:pPr>
      <w:pBdr/>
      <w:spacing w:after="160" w:before="0" w:line="240" w:lineRule="exact"/>
      <w:ind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1012">
    <w:name w:val="No Spacing"/>
    <w:basedOn w:val="920"/>
    <w:uiPriority w:val="1"/>
    <w:qFormat/>
    <w:pPr>
      <w:pBdr/>
      <w:spacing w:line="360" w:lineRule="auto"/>
      <w:ind/>
    </w:pPr>
    <w:rPr>
      <w:rFonts w:eastAsia="Calibri"/>
      <w:sz w:val="24"/>
      <w:szCs w:val="24"/>
    </w:rPr>
  </w:style>
  <w:style w:type="paragraph" w:styleId="1013">
    <w:name w:val="Caption"/>
    <w:basedOn w:val="920"/>
    <w:next w:val="920"/>
    <w:uiPriority w:val="35"/>
    <w:qFormat/>
    <w:pPr>
      <w:pBdr/>
      <w:spacing/>
      <w:ind/>
    </w:pPr>
    <w:rPr>
      <w:rFonts w:eastAsia="Calibri"/>
      <w:b/>
      <w:bCs/>
      <w:color w:val="4f81bd"/>
      <w:sz w:val="18"/>
      <w:szCs w:val="18"/>
    </w:rPr>
  </w:style>
  <w:style w:type="paragraph" w:styleId="1014">
    <w:name w:val="Subtitle"/>
    <w:basedOn w:val="920"/>
    <w:next w:val="920"/>
    <w:link w:val="947"/>
    <w:uiPriority w:val="11"/>
    <w:qFormat/>
    <w:pPr>
      <w:pBdr/>
      <w:spacing/>
      <w:ind w:firstLine="709" w:left="1066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1015">
    <w:name w:val="List Paragraph"/>
    <w:basedOn w:val="920"/>
    <w:link w:val="961"/>
    <w:uiPriority w:val="34"/>
    <w:qFormat/>
    <w:pPr>
      <w:pBdr/>
      <w:spacing w:after="0" w:before="0"/>
      <w:ind w:firstLine="0" w:left="720"/>
      <w:contextualSpacing w:val="true"/>
    </w:pPr>
    <w:rPr>
      <w:rFonts w:eastAsia="Calibri"/>
      <w:sz w:val="24"/>
      <w:szCs w:val="24"/>
    </w:rPr>
  </w:style>
  <w:style w:type="paragraph" w:styleId="1016">
    <w:name w:val="Quote"/>
    <w:basedOn w:val="920"/>
    <w:next w:val="920"/>
    <w:link w:val="949"/>
    <w:uiPriority w:val="29"/>
    <w:qFormat/>
    <w:pPr>
      <w:pBdr/>
      <w:spacing/>
      <w:ind/>
    </w:pPr>
    <w:rPr>
      <w:rFonts w:ascii="Calibri" w:hAnsi="Calibri" w:eastAsia="Calibri"/>
      <w:i/>
      <w:iCs/>
      <w:color w:val="000000"/>
      <w:sz w:val="20"/>
      <w:szCs w:val="20"/>
    </w:rPr>
  </w:style>
  <w:style w:type="paragraph" w:styleId="1017">
    <w:name w:val="Intense Quote"/>
    <w:basedOn w:val="920"/>
    <w:next w:val="920"/>
    <w:link w:val="950"/>
    <w:uiPriority w:val="30"/>
    <w:qFormat/>
    <w:pPr>
      <w:pBdr>
        <w:bottom w:val="single" w:color="4f81bd" w:sz="4" w:space="4"/>
      </w:pBdr>
      <w:spacing w:after="280" w:before="200"/>
      <w:ind w:right="936" w:firstLine="0" w:left="936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1018">
    <w:name w:val="Index Heading"/>
    <w:basedOn w:val="974"/>
    <w:pPr>
      <w:pBdr/>
      <w:spacing/>
      <w:ind/>
    </w:pPr>
  </w:style>
  <w:style w:type="paragraph" w:styleId="1019">
    <w:name w:val="TOC Heading"/>
    <w:basedOn w:val="921"/>
    <w:next w:val="920"/>
    <w:uiPriority w:val="39"/>
    <w:qFormat/>
    <w:pPr>
      <w:keepLines w:val="true"/>
      <w:pBdr/>
      <w:spacing w:after="60" w:before="480"/>
      <w:ind/>
      <w:outlineLvl w:val="9"/>
    </w:pPr>
    <w:rPr>
      <w:rFonts w:ascii="Cambria" w:hAnsi="Cambria"/>
      <w:bCs/>
      <w:color w:val="365f91"/>
    </w:rPr>
  </w:style>
  <w:style w:type="paragraph" w:styleId="1020">
    <w:name w:val="E-mail Signature"/>
    <w:basedOn w:val="920"/>
    <w:link w:val="956"/>
    <w:uiPriority w:val="99"/>
    <w:unhideWhenUsed/>
    <w:qFormat/>
    <w:pPr>
      <w:pBdr/>
      <w:spacing/>
      <w:ind/>
    </w:pPr>
    <w:rPr>
      <w:rFonts w:eastAsia="Calibri"/>
      <w:sz w:val="24"/>
      <w:szCs w:val="24"/>
    </w:rPr>
  </w:style>
  <w:style w:type="paragraph" w:styleId="1021" w:customStyle="1">
    <w:name w:val="Знак"/>
    <w:basedOn w:val="920"/>
    <w:qFormat/>
    <w:pPr>
      <w:pBdr/>
      <w:spacing w:after="160" w:before="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1022" w:customStyle="1">
    <w:name w:val="Нумерованный список ур3"/>
    <w:basedOn w:val="920"/>
    <w:qFormat/>
    <w:pPr>
      <w:numPr>
        <w:ilvl w:val="2"/>
        <w:numId w:val="2"/>
      </w:numPr>
      <w:pBdr/>
      <w:spacing/>
      <w:ind/>
      <w:jc w:val="both"/>
    </w:pPr>
    <w:rPr>
      <w:rFonts w:ascii="Garamond" w:hAnsi="Garamond"/>
      <w:sz w:val="24"/>
      <w:szCs w:val="20"/>
    </w:rPr>
  </w:style>
  <w:style w:type="paragraph" w:styleId="1023" w:customStyle="1">
    <w:name w:val="List Bullet 4"/>
    <w:basedOn w:val="920"/>
    <w:qFormat/>
    <w:pPr>
      <w:numPr>
        <w:ilvl w:val="0"/>
        <w:numId w:val="2"/>
      </w:numPr>
      <w:pBdr/>
      <w:spacing w:after="0" w:before="120"/>
      <w:ind/>
      <w:jc w:val="both"/>
    </w:pPr>
    <w:rPr>
      <w:rFonts w:ascii="Garamond" w:hAnsi="Garamond"/>
      <w:sz w:val="24"/>
      <w:szCs w:val="20"/>
    </w:rPr>
  </w:style>
  <w:style w:type="paragraph" w:styleId="1024" w:customStyle="1">
    <w:name w:val="Нумерованный список ур2"/>
    <w:basedOn w:val="920"/>
    <w:qFormat/>
    <w:pPr>
      <w:numPr>
        <w:ilvl w:val="1"/>
        <w:numId w:val="2"/>
      </w:numPr>
      <w:pBdr/>
      <w:spacing w:after="0" w:before="120"/>
      <w:ind/>
      <w:jc w:val="both"/>
    </w:pPr>
    <w:rPr>
      <w:rFonts w:ascii="Garamond" w:hAnsi="Garamond"/>
      <w:sz w:val="24"/>
      <w:szCs w:val="20"/>
    </w:rPr>
  </w:style>
  <w:style w:type="paragraph" w:styleId="1025">
    <w:name w:val="Revision"/>
    <w:uiPriority w:val="99"/>
    <w:semiHidden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Calibri" w:cs="Times New Roman"/>
      <w:color w:val="auto"/>
      <w:sz w:val="24"/>
      <w:szCs w:val="24"/>
      <w:lang w:val="ru-RU" w:eastAsia="ru-RU" w:bidi="ar-SA"/>
    </w:rPr>
  </w:style>
  <w:style w:type="paragraph" w:styleId="1026" w:customStyle="1">
    <w:name w:val="ConsPlusNormal"/>
    <w:qFormat/>
    <w:pPr>
      <w:widowControl w:val="false"/>
      <w:pBdr/>
      <w:bidi w:val="false"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1027" w:customStyle="1">
    <w:name w:val="Знак Знак3 Знак Знак"/>
    <w:basedOn w:val="920"/>
    <w:qFormat/>
    <w:pPr>
      <w:pBdr/>
      <w:spacing w:after="160" w:before="0" w:line="240" w:lineRule="exact"/>
      <w:ind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1028" w:customStyle="1">
    <w:name w:val="Пункт"/>
    <w:basedOn w:val="920"/>
    <w:qFormat/>
    <w:pPr>
      <w:widowControl w:val="false"/>
      <w:pBdr/>
      <w:tabs>
        <w:tab w:val="clear" w:leader="none" w:pos="708"/>
        <w:tab w:val="left" w:leader="none" w:pos="1134"/>
      </w:tabs>
      <w:spacing w:after="0" w:before="120" w:line="360" w:lineRule="auto"/>
      <w:ind w:right="800" w:hanging="1134" w:left="1134"/>
      <w:jc w:val="both"/>
    </w:pPr>
    <w:rPr>
      <w:rFonts w:ascii="Arial" w:hAnsi="Arial"/>
      <w:b/>
      <w:i/>
      <w:szCs w:val="20"/>
    </w:rPr>
  </w:style>
  <w:style w:type="paragraph" w:styleId="1029" w:customStyle="1">
    <w:name w:val="Абзац списка1"/>
    <w:basedOn w:val="920"/>
    <w:qFormat/>
    <w:pPr>
      <w:pBdr/>
      <w:spacing w:after="200" w:before="0" w:line="276" w:lineRule="auto"/>
      <w:ind w:firstLine="0" w:left="720"/>
      <w:contextualSpacing w:val="true"/>
    </w:pPr>
    <w:rPr>
      <w:rFonts w:ascii="Calibri" w:hAnsi="Calibri"/>
      <w:sz w:val="22"/>
      <w:szCs w:val="22"/>
      <w:lang w:eastAsia="en-US"/>
    </w:rPr>
  </w:style>
  <w:style w:type="paragraph" w:styleId="1030" w:customStyle="1">
    <w:name w:val="Таблица"/>
    <w:basedOn w:val="920"/>
    <w:qFormat/>
    <w:pPr>
      <w:keepNext w:val="true"/>
      <w:pBdr/>
      <w:spacing w:after="60" w:before="60"/>
      <w:ind/>
      <w:jc w:val="center"/>
    </w:pPr>
    <w:rPr>
      <w:rFonts w:eastAsia="Calibri"/>
      <w:b/>
      <w:sz w:val="24"/>
      <w:szCs w:val="24"/>
    </w:rPr>
  </w:style>
  <w:style w:type="paragraph" w:styleId="1031" w:customStyle="1">
    <w:name w:val="Таблица шапка"/>
    <w:basedOn w:val="920"/>
    <w:qFormat/>
    <w:pPr>
      <w:keepNext w:val="true"/>
      <w:pBdr/>
      <w:spacing w:after="40" w:before="40"/>
      <w:ind w:right="57" w:firstLine="0" w:left="57"/>
    </w:pPr>
    <w:rPr>
      <w:sz w:val="22"/>
      <w:szCs w:val="26"/>
    </w:rPr>
  </w:style>
  <w:style w:type="paragraph" w:styleId="1032" w:customStyle="1">
    <w:name w:val="Подподпункт"/>
    <w:basedOn w:val="996"/>
    <w:link w:val="963"/>
    <w:qFormat/>
    <w:pPr>
      <w:pBdr/>
      <w:tabs>
        <w:tab w:val="clear" w:leader="none" w:pos="1134"/>
        <w:tab w:val="left" w:leader="none" w:pos="5104"/>
      </w:tabs>
      <w:spacing w:after="0" w:before="120" w:line="240" w:lineRule="auto"/>
      <w:ind w:hanging="567" w:left="5104"/>
    </w:pPr>
    <w:rPr>
      <w:sz w:val="26"/>
      <w:szCs w:val="26"/>
      <w:lang w:val="ru-RU" w:eastAsia="ru-RU"/>
    </w:rPr>
  </w:style>
  <w:style w:type="paragraph" w:styleId="1033" w:customStyle="1">
    <w:name w:val="УРОВЕНЬ_(а)"/>
    <w:basedOn w:val="1015"/>
    <w:qFormat/>
    <w:pPr>
      <w:numPr>
        <w:ilvl w:val="3"/>
        <w:numId w:val="4"/>
      </w:numPr>
      <w:pBdr/>
      <w:spacing w:after="0" w:before="120" w:line="360" w:lineRule="exact"/>
      <w:ind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1034" w:customStyle="1">
    <w:name w:val="УРОВЕНЬ_-"/>
    <w:basedOn w:val="1015"/>
    <w:qFormat/>
    <w:pPr>
      <w:numPr>
        <w:ilvl w:val="4"/>
        <w:numId w:val="4"/>
      </w:numPr>
      <w:pBdr/>
      <w:spacing w:after="0" w:before="120" w:line="360" w:lineRule="exact"/>
      <w:ind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1035" w:customStyle="1">
    <w:name w:val="УРОВЕНЬ_Абзац_тип2"/>
    <w:basedOn w:val="1015"/>
    <w:qFormat/>
    <w:pPr>
      <w:numPr>
        <w:ilvl w:val="6"/>
        <w:numId w:val="4"/>
      </w:numPr>
      <w:pBdr/>
      <w:spacing w:after="0" w:before="120" w:line="360" w:lineRule="exact"/>
      <w:ind/>
      <w:contextualSpacing w:val="false"/>
      <w:jc w:val="both"/>
    </w:pPr>
    <w:rPr>
      <w:sz w:val="26"/>
      <w:szCs w:val="28"/>
      <w:lang w:eastAsia="en-US"/>
    </w:rPr>
  </w:style>
  <w:style w:type="paragraph" w:styleId="1036" w:customStyle="1">
    <w:name w:val="УРОВЕНЬ_Абзац_тип3"/>
    <w:basedOn w:val="1015"/>
    <w:link w:val="964"/>
    <w:qFormat/>
    <w:pPr>
      <w:numPr>
        <w:ilvl w:val="7"/>
        <w:numId w:val="4"/>
      </w:numPr>
      <w:pBdr/>
      <w:spacing w:after="0" w:before="120" w:line="360" w:lineRule="exact"/>
      <w:ind/>
      <w:contextualSpacing w:val="false"/>
      <w:jc w:val="both"/>
    </w:pPr>
    <w:rPr>
      <w:sz w:val="26"/>
      <w:szCs w:val="28"/>
      <w:lang w:eastAsia="en-US"/>
    </w:rPr>
  </w:style>
  <w:style w:type="paragraph" w:styleId="1037" w:customStyle="1">
    <w:name w:val="УРОВЕНЬ_Подпись"/>
    <w:basedOn w:val="1015"/>
    <w:qFormat/>
    <w:pPr>
      <w:keepNext w:val="true"/>
      <w:numPr>
        <w:ilvl w:val="5"/>
        <w:numId w:val="4"/>
      </w:numPr>
      <w:pBdr/>
      <w:spacing w:after="120" w:before="120" w:line="360" w:lineRule="exact"/>
      <w:ind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038" w:customStyle="1">
    <w:name w:val="Стиль Заголовок 1 + по ширине"/>
    <w:basedOn w:val="921"/>
    <w:qFormat/>
    <w:pPr>
      <w:keepLines w:val="true"/>
      <w:numPr>
        <w:ilvl w:val="0"/>
        <w:numId w:val="0"/>
      </w:numPr>
      <w:pBdr/>
      <w:tabs>
        <w:tab w:val="left" w:leader="none" w:pos="567"/>
        <w:tab w:val="clear" w:leader="none" w:pos="708"/>
      </w:tabs>
      <w:spacing w:after="240" w:before="480"/>
      <w:ind w:hanging="567" w:left="567"/>
    </w:pPr>
    <w:rPr>
      <w:rFonts w:ascii="Arial" w:hAnsi="Arial" w:eastAsia="Times New Roman"/>
      <w:bCs/>
      <w:sz w:val="40"/>
      <w:szCs w:val="20"/>
      <w:lang w:eastAsia="ru-RU"/>
    </w:rPr>
  </w:style>
  <w:style w:type="paragraph" w:styleId="1039">
    <w:name w:val="endnote text"/>
    <w:basedOn w:val="920"/>
    <w:link w:val="967"/>
    <w:pPr>
      <w:pBdr/>
      <w:spacing/>
      <w:ind/>
    </w:pPr>
    <w:rPr>
      <w:sz w:val="20"/>
      <w:szCs w:val="20"/>
    </w:rPr>
  </w:style>
  <w:style w:type="paragraph" w:styleId="1040" w:customStyle="1">
    <w:name w:val="Заголовок 2 КВВ"/>
    <w:basedOn w:val="920"/>
    <w:qFormat/>
    <w:pPr>
      <w:keepNext w:val="true"/>
      <w:numPr>
        <w:ilvl w:val="0"/>
        <w:numId w:val="5"/>
      </w:numPr>
      <w:pBdr/>
      <w:spacing w:after="120" w:before="120"/>
      <w:ind/>
      <w:jc w:val="both"/>
      <w:outlineLvl w:val="0"/>
    </w:pPr>
    <w:rPr>
      <w:b/>
      <w:sz w:val="24"/>
      <w:szCs w:val="20"/>
    </w:rPr>
  </w:style>
  <w:style w:type="paragraph" w:styleId="1041" w:customStyle="1">
    <w:name w:val="Таблица текст"/>
    <w:basedOn w:val="920"/>
    <w:qFormat/>
    <w:pPr>
      <w:pBdr/>
      <w:spacing w:after="40" w:before="40"/>
      <w:ind w:right="57" w:firstLine="0" w:left="57"/>
    </w:pPr>
    <w:rPr>
      <w:sz w:val="24"/>
      <w:szCs w:val="26"/>
    </w:rPr>
  </w:style>
  <w:style w:type="paragraph" w:styleId="1042">
    <w:name w:val="Normal (Web)"/>
    <w:basedOn w:val="920"/>
    <w:uiPriority w:val="99"/>
    <w:unhideWhenUsed/>
    <w:qFormat/>
    <w:pPr>
      <w:pBdr/>
      <w:spacing w:afterAutospacing="1" w:beforeAutospacing="1"/>
      <w:ind/>
    </w:pPr>
    <w:rPr>
      <w:sz w:val="24"/>
      <w:szCs w:val="24"/>
    </w:rPr>
  </w:style>
  <w:style w:type="paragraph" w:styleId="1043" w:customStyle="1">
    <w:name w:val="УРОВЕНЬ_1."/>
    <w:basedOn w:val="1015"/>
    <w:link w:val="971"/>
    <w:qFormat/>
    <w:pPr>
      <w:keepNext w:val="true"/>
      <w:keepLines w:val="true"/>
      <w:pBdr/>
      <w:spacing w:after="120" w:before="240" w:line="276" w:lineRule="auto"/>
      <w:ind w:firstLine="0"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1044">
    <w:name w:val="TOC 6"/>
    <w:basedOn w:val="920"/>
    <w:next w:val="920"/>
    <w:unhideWhenUsed/>
    <w:pPr>
      <w:pBdr/>
      <w:spacing/>
      <w:ind w:firstLine="0" w:left="1120"/>
    </w:pPr>
    <w:rPr>
      <w:rFonts w:ascii="Calibri" w:hAnsi="Calibri" w:cs="Calibri" w:asciiTheme="minorHAnsi" w:hAnsiTheme="minorHAnsi" w:cstheme="minorHAnsi"/>
      <w:sz w:val="20"/>
      <w:szCs w:val="20"/>
    </w:rPr>
  </w:style>
  <w:style w:type="paragraph" w:styleId="1045">
    <w:name w:val="TOC 7"/>
    <w:basedOn w:val="920"/>
    <w:next w:val="920"/>
    <w:unhideWhenUsed/>
    <w:pPr>
      <w:pBdr/>
      <w:spacing/>
      <w:ind w:firstLine="0" w:left="1400"/>
    </w:pPr>
    <w:rPr>
      <w:rFonts w:ascii="Calibri" w:hAnsi="Calibri" w:cs="Calibri" w:asciiTheme="minorHAnsi" w:hAnsiTheme="minorHAnsi" w:cstheme="minorHAnsi"/>
      <w:sz w:val="20"/>
      <w:szCs w:val="20"/>
    </w:rPr>
  </w:style>
  <w:style w:type="paragraph" w:styleId="1046">
    <w:name w:val="TOC 8"/>
    <w:basedOn w:val="920"/>
    <w:next w:val="920"/>
    <w:unhideWhenUsed/>
    <w:pPr>
      <w:pBdr/>
      <w:spacing/>
      <w:ind w:firstLine="0" w:left="1680"/>
    </w:pPr>
    <w:rPr>
      <w:rFonts w:ascii="Calibri" w:hAnsi="Calibri" w:cs="Calibri" w:asciiTheme="minorHAnsi" w:hAnsiTheme="minorHAnsi" w:cstheme="minorHAnsi"/>
      <w:sz w:val="20"/>
      <w:szCs w:val="20"/>
    </w:rPr>
  </w:style>
  <w:style w:type="paragraph" w:styleId="1047">
    <w:name w:val="Содержимое врезки"/>
    <w:basedOn w:val="920"/>
    <w:qFormat/>
    <w:pPr>
      <w:pBdr/>
      <w:spacing/>
      <w:ind/>
    </w:pPr>
  </w:style>
  <w:style w:type="numbering" w:styleId="1048" w:default="1">
    <w:name w:val="No List"/>
    <w:uiPriority w:val="99"/>
    <w:semiHidden/>
    <w:unhideWhenUsed/>
    <w:qFormat/>
    <w:pPr>
      <w:pBdr/>
      <w:spacing/>
      <w:ind/>
    </w:pPr>
  </w:style>
  <w:style w:type="numbering" w:styleId="1049" w:customStyle="1">
    <w:name w:val="Стиль1"/>
    <w:uiPriority w:val="99"/>
    <w:qFormat/>
    <w:pPr>
      <w:pBdr/>
      <w:spacing/>
      <w:ind/>
    </w:pPr>
  </w:style>
  <w:style w:type="numbering" w:styleId="1050" w:customStyle="1">
    <w:name w:val="Стиль2"/>
    <w:uiPriority w:val="99"/>
    <w:qFormat/>
    <w:pPr>
      <w:pBdr/>
      <w:spacing/>
      <w:ind/>
    </w:pPr>
  </w:style>
  <w:style w:type="table" w:styleId="1051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Table Grid"/>
    <w:basedOn w:val="1051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Сетка таблицы1"/>
    <w:basedOn w:val="1051"/>
    <w:uiPriority w:val="39"/>
    <w:pPr>
      <w:pBdr/>
      <w:spacing/>
      <w:ind/>
    </w:pPr>
    <w:rPr>
      <w:rFonts w:asciiTheme="minorHAnsi" w:hAnsiTheme="minorHAnsi" w:eastAsiaTheme="minorHAnsi" w:cstheme="minorBidi"/>
      <w:sz w:val="24"/>
      <w:szCs w:val="24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E1438-A516-4DA8-BA4F-D96BDCB59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Microsoft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dc:language>ru-RU</dc:language>
  <cp:revision>14</cp:revision>
  <dcterms:created xsi:type="dcterms:W3CDTF">2024-02-05T07:30:00Z</dcterms:created>
  <dcterms:modified xsi:type="dcterms:W3CDTF">2026-06-03T01:17:39Z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