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коммерческих предложений на поставку </w:t>
      </w:r>
      <w:r>
        <w:rPr>
          <w:rFonts w:ascii="Times New Roman" w:hAnsi="Times New Roman"/>
          <w:sz w:val="26"/>
          <w:szCs w:val="26"/>
        </w:rPr>
        <w:t>презентационно-сувенирной продукции для</w:t>
      </w:r>
      <w:r>
        <w:rPr>
          <w:rFonts w:ascii="Times New Roman" w:hAnsi="Times New Roman"/>
          <w:sz w:val="26"/>
          <w:szCs w:val="26"/>
        </w:rPr>
        <w:t xml:space="preserve"> филиала ПАО "РусГидро"-"Бурейская ГЭС"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на поставку </w:t>
      </w:r>
      <w:r>
        <w:rPr>
          <w:sz w:val="26"/>
          <w:szCs w:val="26"/>
        </w:rPr>
        <w:t>презентационно-сувенирной продукции для</w:t>
      </w:r>
      <w:r>
        <w:rPr>
          <w:bCs/>
          <w:sz w:val="24"/>
          <w:szCs w:val="24"/>
        </w:rPr>
        <w:t xml:space="preserve"> филиала ПАО "РусГидро"-"Бурейская ГЭС".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Существенные условия будущего договора (в том числе, условия оплаты и гарантийных обязательств) – см. Приложение 1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09:00 (МСК) </w:t>
      </w:r>
      <w:r>
        <w:rPr>
          <w:sz w:val="24"/>
          <w:szCs w:val="24"/>
        </w:rPr>
        <w:t>16</w:t>
      </w:r>
      <w:r>
        <w:rPr>
          <w:sz w:val="24"/>
          <w:szCs w:val="24"/>
        </w:rPr>
        <w:t>.0</w:t>
      </w:r>
      <w:r>
        <w:rPr>
          <w:sz w:val="24"/>
          <w:szCs w:val="24"/>
        </w:rPr>
        <w:t>6</w:t>
      </w:r>
      <w:r>
        <w:rPr>
          <w:sz w:val="24"/>
          <w:szCs w:val="24"/>
        </w:rPr>
        <w:t>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AlterOffice/3.4.0.9$Linux_X86_64 LibreOffice_project/b8daf9e823b1a5463a2f48435ddc2e8696e7d4fc</Application>
  <AppVersion>15.0000</AppVersion>
  <Pages>2</Pages>
  <Words>417</Words>
  <Characters>3028</Characters>
  <CharactersWithSpaces>3403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chausovnv@corp.gidroogk.com</cp:lastModifiedBy>
  <dcterms:modified xsi:type="dcterms:W3CDTF">2026-06-03T11:00:16Z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